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D0EA0" w14:textId="77777777" w:rsidR="00BD3050" w:rsidRPr="00BD3050" w:rsidRDefault="00BD3050" w:rsidP="00BD3050">
      <w:pPr>
        <w:jc w:val="center"/>
        <w:outlineLvl w:val="0"/>
        <w:rPr>
          <w:b/>
        </w:rPr>
      </w:pPr>
      <w:r w:rsidRPr="00BD3050">
        <w:rPr>
          <w:b/>
        </w:rPr>
        <w:t>DEPARTMENT OF THE NAVY (DON)</w:t>
      </w:r>
    </w:p>
    <w:p w14:paraId="7866D611" w14:textId="2AF40347" w:rsidR="00BD3050" w:rsidRPr="00BD3050" w:rsidRDefault="00D95D47" w:rsidP="00BD3050">
      <w:pPr>
        <w:jc w:val="center"/>
        <w:outlineLvl w:val="0"/>
        <w:rPr>
          <w:b/>
        </w:rPr>
      </w:pPr>
      <w:r>
        <w:rPr>
          <w:b/>
        </w:rPr>
        <w:t>20.</w:t>
      </w:r>
      <w:r w:rsidR="003539FB">
        <w:rPr>
          <w:b/>
        </w:rPr>
        <w:t>2</w:t>
      </w:r>
      <w:r w:rsidR="00650B63" w:rsidRPr="00BD3050">
        <w:rPr>
          <w:b/>
        </w:rPr>
        <w:t xml:space="preserve"> </w:t>
      </w:r>
      <w:r w:rsidR="00BD3050" w:rsidRPr="00BD3050">
        <w:rPr>
          <w:b/>
        </w:rPr>
        <w:t>Small Business Innovation Research (SBIR)</w:t>
      </w:r>
    </w:p>
    <w:p w14:paraId="1C2F4CBE" w14:textId="77777777" w:rsidR="00BD3050" w:rsidRPr="00BD3050" w:rsidRDefault="001E3AC4" w:rsidP="00BD3050">
      <w:pPr>
        <w:jc w:val="center"/>
        <w:outlineLvl w:val="0"/>
        <w:rPr>
          <w:b/>
        </w:rPr>
      </w:pPr>
      <w:r>
        <w:rPr>
          <w:b/>
        </w:rPr>
        <w:t xml:space="preserve">Direct to Phase II </w:t>
      </w:r>
      <w:r w:rsidR="00D120D5">
        <w:rPr>
          <w:b/>
        </w:rPr>
        <w:t xml:space="preserve">Announcement and </w:t>
      </w:r>
      <w:r w:rsidR="00BD3050" w:rsidRPr="00BD3050">
        <w:rPr>
          <w:b/>
        </w:rPr>
        <w:t>Proposal Submission Instructions</w:t>
      </w:r>
    </w:p>
    <w:p w14:paraId="5D9FC8F3" w14:textId="77777777" w:rsidR="00BD3050" w:rsidRPr="00BD3050" w:rsidRDefault="00BD3050" w:rsidP="00BD3050">
      <w:pPr>
        <w:tabs>
          <w:tab w:val="left" w:pos="-1440"/>
        </w:tabs>
        <w:jc w:val="both"/>
        <w:rPr>
          <w:sz w:val="2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86" w:type="dxa"/>
          <w:right w:w="86" w:type="dxa"/>
        </w:tblCellMar>
        <w:tblLook w:val="00A0" w:firstRow="1" w:lastRow="0" w:firstColumn="1" w:lastColumn="0" w:noHBand="0" w:noVBand="0"/>
      </w:tblPr>
      <w:tblGrid>
        <w:gridCol w:w="9330"/>
      </w:tblGrid>
      <w:tr w:rsidR="00BD3050" w:rsidRPr="00BD3050" w14:paraId="1342CF58" w14:textId="77777777" w:rsidTr="00015988">
        <w:trPr>
          <w:trHeight w:val="3660"/>
          <w:jc w:val="center"/>
        </w:trPr>
        <w:tc>
          <w:tcPr>
            <w:tcW w:w="9356" w:type="dxa"/>
            <w:shd w:val="pct5" w:color="auto" w:fill="auto"/>
          </w:tcPr>
          <w:p w14:paraId="55ECE765" w14:textId="77777777" w:rsidR="000766BC" w:rsidRDefault="000766BC" w:rsidP="00BD3050">
            <w:pPr>
              <w:jc w:val="center"/>
              <w:rPr>
                <w:b/>
                <w:sz w:val="22"/>
              </w:rPr>
            </w:pPr>
          </w:p>
          <w:p w14:paraId="7C75F4B7" w14:textId="77777777" w:rsidR="00BD3050" w:rsidRDefault="00BD3050" w:rsidP="00BD3050">
            <w:pPr>
              <w:jc w:val="center"/>
              <w:rPr>
                <w:b/>
                <w:sz w:val="22"/>
              </w:rPr>
            </w:pPr>
            <w:r w:rsidRPr="00BD3050">
              <w:rPr>
                <w:b/>
                <w:sz w:val="22"/>
              </w:rPr>
              <w:t>IMPORTANT</w:t>
            </w:r>
          </w:p>
          <w:p w14:paraId="543A0751" w14:textId="77777777" w:rsidR="00477019" w:rsidRPr="00BD3050" w:rsidRDefault="00477019" w:rsidP="000E2B10">
            <w:pPr>
              <w:rPr>
                <w:b/>
                <w:sz w:val="22"/>
              </w:rPr>
            </w:pPr>
          </w:p>
          <w:p w14:paraId="2F83D561" w14:textId="0AD92B65" w:rsidR="003A17D5" w:rsidRPr="00517E63" w:rsidRDefault="00EC0930" w:rsidP="003A17D5">
            <w:pPr>
              <w:numPr>
                <w:ilvl w:val="0"/>
                <w:numId w:val="3"/>
              </w:numPr>
              <w:ind w:left="720"/>
              <w:contextualSpacing/>
              <w:jc w:val="both"/>
              <w:rPr>
                <w:rFonts w:eastAsia="Times New Roman" w:cs="Times New Roman"/>
                <w:b/>
                <w:sz w:val="22"/>
              </w:rPr>
            </w:pPr>
            <w:r w:rsidRPr="00517E63">
              <w:rPr>
                <w:rFonts w:eastAsia="Times New Roman" w:cs="Times New Roman"/>
                <w:b/>
                <w:sz w:val="22"/>
              </w:rPr>
              <w:t>The following instructions apply to Direct to Phase II (DP2) SBIR topic</w:t>
            </w:r>
            <w:r w:rsidR="00517E63" w:rsidRPr="00517E63">
              <w:rPr>
                <w:rFonts w:eastAsia="Times New Roman" w:cs="Times New Roman"/>
                <w:b/>
                <w:sz w:val="22"/>
              </w:rPr>
              <w:t>s only:</w:t>
            </w:r>
          </w:p>
          <w:p w14:paraId="0090AB38" w14:textId="2CA390E0" w:rsidR="003A17D5" w:rsidRPr="00517E63" w:rsidRDefault="00D95D47" w:rsidP="00B36FB7">
            <w:pPr>
              <w:numPr>
                <w:ilvl w:val="1"/>
                <w:numId w:val="3"/>
              </w:numPr>
              <w:ind w:left="1065"/>
              <w:contextualSpacing/>
              <w:jc w:val="both"/>
              <w:rPr>
                <w:rFonts w:eastAsia="Times New Roman" w:cs="Times New Roman"/>
                <w:b/>
                <w:sz w:val="22"/>
              </w:rPr>
            </w:pPr>
            <w:r w:rsidRPr="00517E63">
              <w:rPr>
                <w:rFonts w:eastAsia="Times New Roman" w:cs="Times New Roman"/>
                <w:b/>
                <w:sz w:val="22"/>
              </w:rPr>
              <w:t>N20</w:t>
            </w:r>
            <w:r w:rsidR="00517E63" w:rsidRPr="00517E63">
              <w:rPr>
                <w:rFonts w:eastAsia="Times New Roman" w:cs="Times New Roman"/>
                <w:b/>
                <w:sz w:val="22"/>
              </w:rPr>
              <w:t>2</w:t>
            </w:r>
            <w:r w:rsidRPr="00517E63">
              <w:rPr>
                <w:rFonts w:eastAsia="Times New Roman" w:cs="Times New Roman"/>
                <w:b/>
                <w:sz w:val="22"/>
              </w:rPr>
              <w:t>-</w:t>
            </w:r>
            <w:r w:rsidR="00BB4FB3" w:rsidRPr="00517E63">
              <w:rPr>
                <w:rFonts w:eastAsia="Times New Roman" w:cs="Times New Roman"/>
                <w:b/>
                <w:sz w:val="22"/>
              </w:rPr>
              <w:t>D0</w:t>
            </w:r>
            <w:r w:rsidR="00B74CA7">
              <w:rPr>
                <w:rFonts w:eastAsia="Times New Roman" w:cs="Times New Roman"/>
                <w:b/>
                <w:sz w:val="22"/>
              </w:rPr>
              <w:t>2</w:t>
            </w:r>
          </w:p>
          <w:p w14:paraId="61FDD852" w14:textId="77777777" w:rsidR="003A17D5" w:rsidRDefault="003A17D5" w:rsidP="00CC781B">
            <w:pPr>
              <w:contextualSpacing/>
              <w:jc w:val="both"/>
              <w:rPr>
                <w:rFonts w:eastAsia="Times New Roman" w:cs="Times New Roman"/>
                <w:sz w:val="22"/>
              </w:rPr>
            </w:pPr>
          </w:p>
          <w:p w14:paraId="2A7F2D4D" w14:textId="77777777" w:rsidR="00FB0939" w:rsidRPr="00267E2E" w:rsidRDefault="00FB0939" w:rsidP="00FB0939">
            <w:pPr>
              <w:ind w:left="360"/>
              <w:contextualSpacing/>
              <w:jc w:val="both"/>
              <w:rPr>
                <w:rFonts w:eastAsia="Times New Roman" w:cs="Times New Roman"/>
                <w:b/>
                <w:sz w:val="22"/>
              </w:rPr>
            </w:pPr>
            <w:bookmarkStart w:id="0" w:name="_Hlk30495859"/>
            <w:r w:rsidRPr="00267E2E">
              <w:rPr>
                <w:rFonts w:eastAsia="Times New Roman" w:cs="Times New Roman"/>
                <w:sz w:val="22"/>
              </w:rPr>
              <w:t>•</w:t>
            </w:r>
            <w:r w:rsidRPr="00267E2E">
              <w:rPr>
                <w:rFonts w:eastAsia="Times New Roman" w:cs="Times New Roman"/>
                <w:sz w:val="22"/>
              </w:rPr>
              <w:tab/>
            </w:r>
            <w:r w:rsidRPr="00267E2E">
              <w:rPr>
                <w:rFonts w:eastAsia="Times New Roman" w:cs="Times New Roman"/>
                <w:b/>
                <w:sz w:val="22"/>
              </w:rPr>
              <w:t>The information provided in the DON Proposal Submission Instruction document takes</w:t>
            </w:r>
          </w:p>
          <w:p w14:paraId="6BF9AD86" w14:textId="77777777" w:rsidR="00FB0939" w:rsidRPr="00267E2E" w:rsidRDefault="00FB0939" w:rsidP="00FB0939">
            <w:pPr>
              <w:ind w:left="360"/>
              <w:contextualSpacing/>
              <w:jc w:val="both"/>
              <w:rPr>
                <w:rFonts w:eastAsia="Times New Roman" w:cs="Times New Roman"/>
                <w:b/>
                <w:sz w:val="22"/>
              </w:rPr>
            </w:pPr>
            <w:r w:rsidRPr="00267E2E">
              <w:rPr>
                <w:rFonts w:eastAsia="Times New Roman" w:cs="Times New Roman"/>
                <w:b/>
                <w:sz w:val="22"/>
              </w:rPr>
              <w:t xml:space="preserve">       precedence over the DoD Instructions posted for this Broad Agency Announcement (BAA).  </w:t>
            </w:r>
          </w:p>
          <w:bookmarkEnd w:id="0"/>
          <w:p w14:paraId="352A6F5A" w14:textId="77777777" w:rsidR="00FB0939" w:rsidRPr="00FB0939" w:rsidRDefault="00FB0939" w:rsidP="00FB0939">
            <w:pPr>
              <w:ind w:left="720"/>
              <w:contextualSpacing/>
              <w:jc w:val="both"/>
              <w:rPr>
                <w:rFonts w:eastAsia="Times New Roman" w:cs="Times New Roman"/>
                <w:sz w:val="22"/>
              </w:rPr>
            </w:pPr>
          </w:p>
          <w:p w14:paraId="753DB81F" w14:textId="44CDE062" w:rsidR="00CC781B" w:rsidRDefault="00CC781B" w:rsidP="00CC781B">
            <w:pPr>
              <w:pStyle w:val="ListParagraph"/>
              <w:numPr>
                <w:ilvl w:val="0"/>
                <w:numId w:val="3"/>
              </w:numPr>
              <w:ind w:left="705"/>
              <w:rPr>
                <w:sz w:val="22"/>
                <w:szCs w:val="22"/>
              </w:rPr>
            </w:pPr>
            <w:r w:rsidRPr="00CC781B">
              <w:rPr>
                <w:sz w:val="22"/>
                <w:szCs w:val="22"/>
              </w:rPr>
              <w:t xml:space="preserve">A DP2 Phase I Feasibility proposal template, unique to DP2 topics, will be available to assist small businesses to generate a Phase I Technical Volume (Volume 2). The template will be located on </w:t>
            </w:r>
            <w:hyperlink r:id="rId11" w:history="1">
              <w:r w:rsidR="00CD7473" w:rsidRPr="0005060C">
                <w:rPr>
                  <w:rStyle w:val="Hyperlink"/>
                  <w:sz w:val="22"/>
                  <w:szCs w:val="22"/>
                </w:rPr>
                <w:t>https://www.navysbir.com/links_forms.htm</w:t>
              </w:r>
            </w:hyperlink>
            <w:r w:rsidRPr="00CC781B">
              <w:rPr>
                <w:sz w:val="22"/>
                <w:szCs w:val="22"/>
              </w:rPr>
              <w:t>.</w:t>
            </w:r>
            <w:r w:rsidR="00CD7473">
              <w:rPr>
                <w:sz w:val="22"/>
                <w:szCs w:val="22"/>
              </w:rPr>
              <w:t xml:space="preserve"> </w:t>
            </w:r>
            <w:r w:rsidRPr="00CC781B">
              <w:rPr>
                <w:sz w:val="22"/>
                <w:szCs w:val="22"/>
              </w:rPr>
              <w:t xml:space="preserve">  </w:t>
            </w:r>
          </w:p>
          <w:p w14:paraId="7F9D4034" w14:textId="77777777" w:rsidR="00352734" w:rsidRPr="00CC781B" w:rsidRDefault="00352734" w:rsidP="00352734">
            <w:pPr>
              <w:pStyle w:val="ListParagraph"/>
              <w:ind w:left="705"/>
              <w:rPr>
                <w:sz w:val="22"/>
                <w:szCs w:val="22"/>
              </w:rPr>
            </w:pPr>
          </w:p>
          <w:p w14:paraId="38B45078" w14:textId="3F4E2D3E" w:rsidR="007864C4" w:rsidRDefault="007864C4" w:rsidP="007864C4">
            <w:pPr>
              <w:numPr>
                <w:ilvl w:val="0"/>
                <w:numId w:val="3"/>
              </w:numPr>
              <w:ind w:left="720"/>
              <w:contextualSpacing/>
              <w:jc w:val="both"/>
              <w:rPr>
                <w:rFonts w:eastAsia="Times New Roman" w:cs="Times New Roman"/>
                <w:sz w:val="22"/>
              </w:rPr>
            </w:pPr>
            <w:r w:rsidRPr="007C3360">
              <w:rPr>
                <w:rFonts w:eastAsia="Times New Roman" w:cs="Times New Roman"/>
                <w:sz w:val="22"/>
              </w:rPr>
              <w:t>DON provides notice that Basic Ordering Agreements (BOAs) or Other Transaction Agreements (OTAs) may be used for Phase II awards.</w:t>
            </w:r>
          </w:p>
          <w:p w14:paraId="0CDEF175" w14:textId="77777777" w:rsidR="006C4015" w:rsidRDefault="006C4015" w:rsidP="00215C0D">
            <w:pPr>
              <w:ind w:left="720"/>
              <w:contextualSpacing/>
              <w:jc w:val="both"/>
              <w:rPr>
                <w:rFonts w:eastAsia="Times New Roman" w:cs="Times New Roman"/>
                <w:sz w:val="22"/>
              </w:rPr>
            </w:pPr>
          </w:p>
          <w:p w14:paraId="6068EA78" w14:textId="6CF691F1" w:rsidR="003E1685" w:rsidRPr="008565C1" w:rsidRDefault="00623C6B" w:rsidP="008565C1">
            <w:pPr>
              <w:numPr>
                <w:ilvl w:val="0"/>
                <w:numId w:val="13"/>
              </w:numPr>
              <w:contextualSpacing/>
              <w:rPr>
                <w:rFonts w:eastAsia="Times New Roman" w:cs="Times New Roman"/>
                <w:sz w:val="22"/>
                <w:szCs w:val="24"/>
              </w:rPr>
            </w:pPr>
            <w:r w:rsidRPr="00215C0D">
              <w:rPr>
                <w:rFonts w:eastAsia="Times New Roman" w:cs="Times New Roman"/>
                <w:sz w:val="22"/>
              </w:rPr>
              <w:t>The optional Supporting Documents Volume (Volume 5) is available</w:t>
            </w:r>
            <w:r w:rsidRPr="00215C0D">
              <w:rPr>
                <w:rFonts w:eastAsia="Times New Roman" w:cs="Times New Roman"/>
                <w:sz w:val="22"/>
                <w:szCs w:val="24"/>
              </w:rPr>
              <w:t xml:space="preserve"> for the SBIR </w:t>
            </w:r>
            <w:r>
              <w:rPr>
                <w:rFonts w:eastAsia="Times New Roman" w:cs="Times New Roman"/>
                <w:sz w:val="22"/>
                <w:szCs w:val="24"/>
              </w:rPr>
              <w:t>20.</w:t>
            </w:r>
            <w:r w:rsidR="008565C1">
              <w:rPr>
                <w:rFonts w:eastAsia="Times New Roman" w:cs="Times New Roman"/>
                <w:sz w:val="22"/>
                <w:szCs w:val="24"/>
              </w:rPr>
              <w:t>2</w:t>
            </w:r>
            <w:r w:rsidRPr="00215C0D">
              <w:rPr>
                <w:rFonts w:eastAsia="Times New Roman" w:cs="Times New Roman"/>
                <w:sz w:val="22"/>
                <w:szCs w:val="24"/>
              </w:rPr>
              <w:t xml:space="preserve"> BAA cycle. The optional Supporting Documents Volume is provided for small businesses to submit additional documentation to support the Technical Volume (Volume 2)</w:t>
            </w:r>
            <w:r w:rsidRPr="00215C0D">
              <w:rPr>
                <w:rFonts w:eastAsia="Times New Roman" w:cs="Times New Roman"/>
                <w:sz w:val="22"/>
              </w:rPr>
              <w:t xml:space="preserve"> and the Cost Volume (Volume 3). Volume 5 is available for use when submitting Phase I and Phase II proposals. </w:t>
            </w:r>
            <w:r w:rsidRPr="00215C0D">
              <w:rPr>
                <w:rFonts w:eastAsia="Times New Roman" w:cs="Times New Roman"/>
                <w:sz w:val="22"/>
                <w:szCs w:val="24"/>
              </w:rPr>
              <w:t>DON will not be using any of the information in Volume 5 during the evaluation.</w:t>
            </w:r>
          </w:p>
          <w:p w14:paraId="5BDB9DD5" w14:textId="09E5F54D" w:rsidR="003E1685" w:rsidRPr="003E1685" w:rsidRDefault="003E1685" w:rsidP="003E1685">
            <w:pPr>
              <w:ind w:left="720"/>
              <w:contextualSpacing/>
              <w:rPr>
                <w:sz w:val="20"/>
                <w:szCs w:val="20"/>
              </w:rPr>
            </w:pPr>
          </w:p>
        </w:tc>
      </w:tr>
    </w:tbl>
    <w:p w14:paraId="05192A14" w14:textId="77777777" w:rsidR="00BD3050" w:rsidRPr="00BD3050" w:rsidRDefault="00BD3050" w:rsidP="00BD3050">
      <w:pPr>
        <w:tabs>
          <w:tab w:val="left" w:pos="-1440"/>
        </w:tabs>
        <w:spacing w:after="60"/>
        <w:jc w:val="both"/>
        <w:outlineLvl w:val="0"/>
        <w:rPr>
          <w:b/>
          <w:bCs/>
          <w:sz w:val="22"/>
        </w:rPr>
      </w:pPr>
    </w:p>
    <w:p w14:paraId="31700334" w14:textId="77777777" w:rsidR="00BD3050" w:rsidRPr="00BD3050" w:rsidRDefault="00BD3050" w:rsidP="00BD3050">
      <w:pPr>
        <w:tabs>
          <w:tab w:val="left" w:pos="-1440"/>
        </w:tabs>
        <w:spacing w:after="60"/>
        <w:jc w:val="both"/>
        <w:outlineLvl w:val="0"/>
        <w:rPr>
          <w:b/>
          <w:bCs/>
          <w:sz w:val="22"/>
        </w:rPr>
      </w:pPr>
      <w:r w:rsidRPr="00BD3050">
        <w:rPr>
          <w:b/>
          <w:bCs/>
          <w:sz w:val="22"/>
        </w:rPr>
        <w:t>INTRODUCTION</w:t>
      </w:r>
    </w:p>
    <w:p w14:paraId="75142A92" w14:textId="357C7632" w:rsidR="000A3092" w:rsidRDefault="00BD3050" w:rsidP="00BD3050">
      <w:pPr>
        <w:tabs>
          <w:tab w:val="left" w:pos="-1440"/>
        </w:tabs>
        <w:jc w:val="both"/>
        <w:rPr>
          <w:color w:val="000000"/>
          <w:sz w:val="22"/>
        </w:rPr>
      </w:pPr>
      <w:r w:rsidRPr="00BD3050">
        <w:rPr>
          <w:bCs/>
          <w:color w:val="000000"/>
          <w:sz w:val="22"/>
        </w:rPr>
        <w:t>The Director of the DON SBIR/STTR Programs is Mr. Robert Smith</w:t>
      </w:r>
      <w:r w:rsidRPr="00BD3050">
        <w:rPr>
          <w:sz w:val="22"/>
        </w:rPr>
        <w:t>.</w:t>
      </w:r>
      <w:r w:rsidRPr="00BD3050">
        <w:rPr>
          <w:color w:val="FF0000"/>
          <w:sz w:val="22"/>
        </w:rPr>
        <w:t xml:space="preserve"> </w:t>
      </w:r>
      <w:r w:rsidRPr="00BD3050">
        <w:rPr>
          <w:bCs/>
          <w:color w:val="000000"/>
          <w:sz w:val="22"/>
        </w:rPr>
        <w:t>For program and administrative questions, contact the Program Manager</w:t>
      </w:r>
      <w:r w:rsidRPr="00BD3050">
        <w:rPr>
          <w:color w:val="000000"/>
          <w:sz w:val="22"/>
        </w:rPr>
        <w:t xml:space="preserve"> listed in </w:t>
      </w:r>
      <w:r w:rsidRPr="00BD3050">
        <w:rPr>
          <w:color w:val="000000"/>
          <w:sz w:val="22"/>
          <w:u w:val="single"/>
        </w:rPr>
        <w:t>Table 1</w:t>
      </w:r>
      <w:r w:rsidRPr="00BD3050">
        <w:rPr>
          <w:color w:val="000000"/>
          <w:sz w:val="22"/>
        </w:rPr>
        <w:t xml:space="preserve">; </w:t>
      </w:r>
      <w:r w:rsidRPr="00BD3050">
        <w:rPr>
          <w:b/>
          <w:color w:val="000000"/>
          <w:sz w:val="22"/>
        </w:rPr>
        <w:t>do not</w:t>
      </w:r>
      <w:r w:rsidRPr="00BD3050">
        <w:rPr>
          <w:color w:val="000000"/>
          <w:sz w:val="22"/>
        </w:rPr>
        <w:t xml:space="preserve"> contact them for technical questions. </w:t>
      </w:r>
      <w:r w:rsidRPr="00BD3050">
        <w:rPr>
          <w:sz w:val="22"/>
        </w:rPr>
        <w:t xml:space="preserve">For technical questions about a topic, contact the Topic Authors listed </w:t>
      </w:r>
      <w:r w:rsidR="002060E3">
        <w:rPr>
          <w:sz w:val="22"/>
        </w:rPr>
        <w:t xml:space="preserve">within </w:t>
      </w:r>
      <w:r w:rsidR="00D95D47">
        <w:rPr>
          <w:sz w:val="22"/>
        </w:rPr>
        <w:t>the</w:t>
      </w:r>
      <w:r w:rsidRPr="00BD3050">
        <w:rPr>
          <w:sz w:val="22"/>
        </w:rPr>
        <w:t xml:space="preserve"> topic</w:t>
      </w:r>
      <w:r w:rsidRPr="00BD3050">
        <w:rPr>
          <w:b/>
          <w:sz w:val="22"/>
        </w:rPr>
        <w:t xml:space="preserve"> </w:t>
      </w:r>
      <w:r w:rsidRPr="00BD3050">
        <w:rPr>
          <w:sz w:val="22"/>
        </w:rPr>
        <w:t xml:space="preserve">during the </w:t>
      </w:r>
      <w:r w:rsidRPr="005277A6">
        <w:rPr>
          <w:sz w:val="22"/>
        </w:rPr>
        <w:t xml:space="preserve">period </w:t>
      </w:r>
      <w:r w:rsidR="00960D2C">
        <w:rPr>
          <w:b/>
          <w:sz w:val="22"/>
        </w:rPr>
        <w:t>6 May through 2 June 2020</w:t>
      </w:r>
      <w:r w:rsidRPr="005277A6">
        <w:rPr>
          <w:b/>
          <w:sz w:val="22"/>
        </w:rPr>
        <w:t xml:space="preserve">. </w:t>
      </w:r>
      <w:r w:rsidRPr="005277A6">
        <w:rPr>
          <w:color w:val="000000"/>
          <w:sz w:val="22"/>
        </w:rPr>
        <w:t xml:space="preserve">Beginning </w:t>
      </w:r>
      <w:r w:rsidR="00960D2C">
        <w:rPr>
          <w:b/>
          <w:sz w:val="22"/>
        </w:rPr>
        <w:t>3 June 2020</w:t>
      </w:r>
      <w:r w:rsidRPr="005277A6">
        <w:rPr>
          <w:b/>
          <w:sz w:val="22"/>
        </w:rPr>
        <w:t>,</w:t>
      </w:r>
      <w:r w:rsidRPr="005277A6">
        <w:rPr>
          <w:color w:val="000000"/>
          <w:sz w:val="22"/>
        </w:rPr>
        <w:t xml:space="preserve"> the SBIR/STTR Interactive Technical Information System (SITIS) (</w:t>
      </w:r>
      <w:hyperlink r:id="rId12" w:history="1">
        <w:r w:rsidR="002524A0" w:rsidRPr="0005060C">
          <w:rPr>
            <w:rStyle w:val="Hyperlink"/>
          </w:rPr>
          <w:t>https://www.dodsbirsttr.mil/submissions</w:t>
        </w:r>
      </w:hyperlink>
      <w:r w:rsidRPr="005277A6">
        <w:rPr>
          <w:color w:val="000000"/>
          <w:sz w:val="22"/>
        </w:rPr>
        <w:t>)</w:t>
      </w:r>
      <w:r w:rsidR="002524A0">
        <w:rPr>
          <w:color w:val="000000"/>
          <w:sz w:val="22"/>
        </w:rPr>
        <w:t xml:space="preserve"> </w:t>
      </w:r>
      <w:r w:rsidRPr="005277A6">
        <w:rPr>
          <w:bCs/>
          <w:color w:val="000000"/>
          <w:sz w:val="22"/>
        </w:rPr>
        <w:t>listed in Section 4.15.d of the</w:t>
      </w:r>
      <w:r w:rsidRPr="00BD3050">
        <w:rPr>
          <w:bCs/>
          <w:color w:val="000000"/>
          <w:sz w:val="22"/>
        </w:rPr>
        <w:t xml:space="preserve"> Department of Defense (DoD) SBIR/STTR Program Broad Agency Announcement (BAA) must be used for any technical inquiry. </w:t>
      </w:r>
      <w:r w:rsidRPr="00BD3050">
        <w:rPr>
          <w:sz w:val="22"/>
        </w:rPr>
        <w:t>For general inquiries or problems with electronic submission, contact the DoD SBIR/STTR Help Desk at 1-</w:t>
      </w:r>
      <w:r w:rsidR="004D7B4C">
        <w:rPr>
          <w:sz w:val="22"/>
        </w:rPr>
        <w:t>703-214-1333</w:t>
      </w:r>
      <w:r w:rsidRPr="00BD3050">
        <w:rPr>
          <w:sz w:val="22"/>
        </w:rPr>
        <w:t xml:space="preserve"> (Monday through Friday, 9:00 a.m. to </w:t>
      </w:r>
      <w:r w:rsidR="00366685">
        <w:rPr>
          <w:sz w:val="22"/>
        </w:rPr>
        <w:t>5</w:t>
      </w:r>
      <w:r w:rsidRPr="00BD3050">
        <w:rPr>
          <w:sz w:val="22"/>
        </w:rPr>
        <w:t>:00 p.m. ET) or via email at</w:t>
      </w:r>
      <w:r w:rsidRPr="00BD3050">
        <w:rPr>
          <w:rFonts w:cs="Times New Roman"/>
          <w:color w:val="FFFFFF"/>
          <w:sz w:val="22"/>
        </w:rPr>
        <w:t> </w:t>
      </w:r>
      <w:hyperlink r:id="rId13" w:history="1">
        <w:r w:rsidR="005C6667">
          <w:rPr>
            <w:rStyle w:val="Hyperlink"/>
            <w:rFonts w:eastAsia="Times New Roman"/>
          </w:rPr>
          <w:t>dodsbirsupport@reisystems.com</w:t>
        </w:r>
      </w:hyperlink>
      <w:r w:rsidRPr="00BD3050">
        <w:rPr>
          <w:sz w:val="22"/>
        </w:rPr>
        <w:t>. </w:t>
      </w:r>
    </w:p>
    <w:p w14:paraId="21B21A1A" w14:textId="77777777" w:rsidR="000A3092" w:rsidRPr="00BD3050" w:rsidRDefault="000A3092" w:rsidP="00BD3050">
      <w:pPr>
        <w:tabs>
          <w:tab w:val="left" w:pos="-1440"/>
        </w:tabs>
        <w:jc w:val="both"/>
        <w:rPr>
          <w:color w:val="000000"/>
          <w:sz w:val="22"/>
        </w:rPr>
      </w:pPr>
    </w:p>
    <w:p w14:paraId="4E35EE08" w14:textId="5DB0064A" w:rsidR="00CD0730" w:rsidRPr="00BD3050" w:rsidRDefault="00BD3050" w:rsidP="0014557F">
      <w:pPr>
        <w:spacing w:after="60"/>
        <w:jc w:val="center"/>
        <w:outlineLvl w:val="0"/>
        <w:rPr>
          <w:b/>
          <w:color w:val="000000"/>
          <w:sz w:val="22"/>
        </w:rPr>
      </w:pPr>
      <w:r w:rsidRPr="00BD3050">
        <w:rPr>
          <w:b/>
          <w:color w:val="000000"/>
          <w:sz w:val="22"/>
        </w:rPr>
        <w:t>TABLE 1: DON SYSTEMS COMMAND (SYSCOM) SBIR PROGRAM MANAGERS</w:t>
      </w:r>
    </w:p>
    <w:tbl>
      <w:tblPr>
        <w:tblW w:w="9360" w:type="dxa"/>
        <w:jc w:val="center"/>
        <w:tblLayout w:type="fixed"/>
        <w:tblLook w:val="04A0" w:firstRow="1" w:lastRow="0" w:firstColumn="1" w:lastColumn="0" w:noHBand="0" w:noVBand="1"/>
      </w:tblPr>
      <w:tblGrid>
        <w:gridCol w:w="1620"/>
        <w:gridCol w:w="2520"/>
        <w:gridCol w:w="2250"/>
        <w:gridCol w:w="2970"/>
      </w:tblGrid>
      <w:tr w:rsidR="00BD3050" w:rsidRPr="00BD3050" w14:paraId="3478CD34" w14:textId="77777777" w:rsidTr="00015988">
        <w:trPr>
          <w:trHeight w:val="302"/>
          <w:jc w:val="center"/>
        </w:trPr>
        <w:tc>
          <w:tcPr>
            <w:tcW w:w="1620" w:type="dxa"/>
            <w:tcBorders>
              <w:top w:val="nil"/>
              <w:left w:val="nil"/>
              <w:bottom w:val="single" w:sz="4" w:space="0" w:color="auto"/>
              <w:right w:val="nil"/>
            </w:tcBorders>
            <w:hideMark/>
          </w:tcPr>
          <w:p w14:paraId="05F981DA" w14:textId="77777777" w:rsidR="00BD3050" w:rsidRPr="00BD3050" w:rsidRDefault="00BD3050" w:rsidP="00BD3050">
            <w:pPr>
              <w:jc w:val="center"/>
              <w:rPr>
                <w:sz w:val="22"/>
                <w:u w:val="single"/>
              </w:rPr>
            </w:pPr>
            <w:r w:rsidRPr="00BD3050">
              <w:rPr>
                <w:sz w:val="22"/>
                <w:u w:val="single"/>
              </w:rPr>
              <w:t>Topic Numbers</w:t>
            </w:r>
          </w:p>
        </w:tc>
        <w:tc>
          <w:tcPr>
            <w:tcW w:w="2520" w:type="dxa"/>
            <w:tcBorders>
              <w:top w:val="nil"/>
              <w:left w:val="nil"/>
              <w:bottom w:val="single" w:sz="4" w:space="0" w:color="auto"/>
              <w:right w:val="nil"/>
            </w:tcBorders>
            <w:hideMark/>
          </w:tcPr>
          <w:p w14:paraId="4FF72C9C" w14:textId="77777777" w:rsidR="00BD3050" w:rsidRPr="00BD3050" w:rsidRDefault="00BD3050" w:rsidP="00BD3050">
            <w:pPr>
              <w:jc w:val="center"/>
              <w:rPr>
                <w:sz w:val="22"/>
              </w:rPr>
            </w:pPr>
            <w:r w:rsidRPr="00BD3050">
              <w:rPr>
                <w:sz w:val="22"/>
                <w:u w:val="single"/>
              </w:rPr>
              <w:t>Point of Contact</w:t>
            </w:r>
          </w:p>
        </w:tc>
        <w:tc>
          <w:tcPr>
            <w:tcW w:w="2250" w:type="dxa"/>
            <w:tcBorders>
              <w:top w:val="nil"/>
              <w:left w:val="nil"/>
              <w:bottom w:val="single" w:sz="4" w:space="0" w:color="auto"/>
              <w:right w:val="nil"/>
            </w:tcBorders>
            <w:hideMark/>
          </w:tcPr>
          <w:p w14:paraId="58774126" w14:textId="77777777" w:rsidR="00BD3050" w:rsidRPr="00BD3050" w:rsidRDefault="00BD3050" w:rsidP="00BD3050">
            <w:pPr>
              <w:jc w:val="center"/>
              <w:rPr>
                <w:sz w:val="22"/>
              </w:rPr>
            </w:pPr>
            <w:r w:rsidRPr="00BD3050">
              <w:rPr>
                <w:sz w:val="22"/>
                <w:u w:val="single"/>
              </w:rPr>
              <w:t>SYSCOM</w:t>
            </w:r>
          </w:p>
        </w:tc>
        <w:tc>
          <w:tcPr>
            <w:tcW w:w="2970" w:type="dxa"/>
            <w:tcBorders>
              <w:top w:val="nil"/>
              <w:left w:val="nil"/>
              <w:bottom w:val="single" w:sz="4" w:space="0" w:color="auto"/>
              <w:right w:val="nil"/>
            </w:tcBorders>
            <w:hideMark/>
          </w:tcPr>
          <w:p w14:paraId="720B3EE5" w14:textId="77777777" w:rsidR="00BD3050" w:rsidRPr="00BD3050" w:rsidRDefault="00BD3050" w:rsidP="00BD3050">
            <w:pPr>
              <w:jc w:val="center"/>
              <w:rPr>
                <w:sz w:val="22"/>
              </w:rPr>
            </w:pPr>
            <w:r w:rsidRPr="00BD3050">
              <w:rPr>
                <w:sz w:val="22"/>
                <w:u w:val="single"/>
              </w:rPr>
              <w:t>Email</w:t>
            </w:r>
          </w:p>
        </w:tc>
      </w:tr>
      <w:tr w:rsidR="00BB4FB3" w:rsidRPr="00BD3050" w14:paraId="29263194" w14:textId="77777777" w:rsidTr="00015988">
        <w:trPr>
          <w:trHeight w:val="368"/>
          <w:jc w:val="center"/>
        </w:trPr>
        <w:tc>
          <w:tcPr>
            <w:tcW w:w="1620" w:type="dxa"/>
            <w:tcBorders>
              <w:top w:val="single" w:sz="4" w:space="0" w:color="auto"/>
              <w:left w:val="single" w:sz="4" w:space="0" w:color="auto"/>
              <w:bottom w:val="single" w:sz="4" w:space="0" w:color="auto"/>
              <w:right w:val="single" w:sz="4" w:space="0" w:color="auto"/>
            </w:tcBorders>
            <w:vAlign w:val="center"/>
          </w:tcPr>
          <w:p w14:paraId="27242098" w14:textId="556B6789" w:rsidR="00BB4FB3" w:rsidRDefault="00BB4FB3" w:rsidP="00BB4FB3">
            <w:pPr>
              <w:jc w:val="center"/>
              <w:rPr>
                <w:sz w:val="22"/>
              </w:rPr>
            </w:pPr>
            <w:r w:rsidRPr="00233EC0">
              <w:rPr>
                <w:sz w:val="22"/>
              </w:rPr>
              <w:t>N</w:t>
            </w:r>
            <w:r>
              <w:rPr>
                <w:sz w:val="22"/>
              </w:rPr>
              <w:t>20</w:t>
            </w:r>
            <w:r w:rsidR="00B74CA7">
              <w:rPr>
                <w:sz w:val="22"/>
              </w:rPr>
              <w:t>2</w:t>
            </w:r>
            <w:r>
              <w:rPr>
                <w:sz w:val="22"/>
              </w:rPr>
              <w:t>-D0</w:t>
            </w:r>
            <w:r w:rsidR="00366685">
              <w:rPr>
                <w:sz w:val="22"/>
              </w:rPr>
              <w:t>2</w:t>
            </w:r>
          </w:p>
        </w:tc>
        <w:tc>
          <w:tcPr>
            <w:tcW w:w="2520" w:type="dxa"/>
            <w:tcBorders>
              <w:top w:val="single" w:sz="4" w:space="0" w:color="auto"/>
              <w:left w:val="single" w:sz="4" w:space="0" w:color="auto"/>
              <w:bottom w:val="single" w:sz="4" w:space="0" w:color="auto"/>
              <w:right w:val="single" w:sz="4" w:space="0" w:color="auto"/>
            </w:tcBorders>
            <w:vAlign w:val="center"/>
          </w:tcPr>
          <w:p w14:paraId="30033871" w14:textId="1BC1E2FA" w:rsidR="00BB4FB3" w:rsidRDefault="00BB4FB3" w:rsidP="00BB4FB3">
            <w:pPr>
              <w:jc w:val="center"/>
              <w:rPr>
                <w:sz w:val="22"/>
              </w:rPr>
            </w:pPr>
            <w:r w:rsidRPr="00BD3050">
              <w:rPr>
                <w:sz w:val="22"/>
              </w:rPr>
              <w:t>Mr. Jeffrey Kent</w:t>
            </w:r>
          </w:p>
        </w:tc>
        <w:tc>
          <w:tcPr>
            <w:tcW w:w="2250" w:type="dxa"/>
            <w:tcBorders>
              <w:top w:val="single" w:sz="4" w:space="0" w:color="auto"/>
              <w:left w:val="single" w:sz="4" w:space="0" w:color="auto"/>
              <w:bottom w:val="single" w:sz="4" w:space="0" w:color="auto"/>
              <w:right w:val="single" w:sz="4" w:space="0" w:color="auto"/>
            </w:tcBorders>
            <w:vAlign w:val="center"/>
          </w:tcPr>
          <w:p w14:paraId="782D5A2C" w14:textId="77777777" w:rsidR="00BB4FB3" w:rsidRPr="00BD3050" w:rsidRDefault="00BB4FB3" w:rsidP="00BB4FB3">
            <w:pPr>
              <w:jc w:val="center"/>
              <w:rPr>
                <w:sz w:val="22"/>
              </w:rPr>
            </w:pPr>
            <w:r w:rsidRPr="00BD3050">
              <w:rPr>
                <w:sz w:val="22"/>
              </w:rPr>
              <w:t xml:space="preserve">Marine Corps Systems Command </w:t>
            </w:r>
          </w:p>
          <w:p w14:paraId="06991CFF" w14:textId="7EE94384" w:rsidR="00BB4FB3" w:rsidRDefault="00BB4FB3" w:rsidP="00BB4FB3">
            <w:pPr>
              <w:jc w:val="center"/>
              <w:rPr>
                <w:sz w:val="22"/>
              </w:rPr>
            </w:pPr>
            <w:r w:rsidRPr="00BD3050">
              <w:rPr>
                <w:sz w:val="22"/>
              </w:rPr>
              <w:t>(MCSC)</w:t>
            </w:r>
          </w:p>
        </w:tc>
        <w:tc>
          <w:tcPr>
            <w:tcW w:w="2970" w:type="dxa"/>
            <w:tcBorders>
              <w:top w:val="single" w:sz="4" w:space="0" w:color="auto"/>
              <w:left w:val="single" w:sz="4" w:space="0" w:color="auto"/>
              <w:bottom w:val="single" w:sz="4" w:space="0" w:color="auto"/>
              <w:right w:val="single" w:sz="4" w:space="0" w:color="auto"/>
            </w:tcBorders>
            <w:vAlign w:val="center"/>
          </w:tcPr>
          <w:p w14:paraId="3AFA233A" w14:textId="55D010C5" w:rsidR="00BB4FB3" w:rsidRDefault="00BB4FB3" w:rsidP="00BB4FB3">
            <w:pPr>
              <w:jc w:val="center"/>
              <w:rPr>
                <w:sz w:val="22"/>
              </w:rPr>
            </w:pPr>
            <w:r w:rsidRPr="00BD3050">
              <w:rPr>
                <w:sz w:val="22"/>
              </w:rPr>
              <w:t>jeffrey.a.kent@usmc.mil</w:t>
            </w:r>
          </w:p>
        </w:tc>
      </w:tr>
    </w:tbl>
    <w:p w14:paraId="7E8C4A69" w14:textId="77777777" w:rsidR="002F1CA9" w:rsidRDefault="002F1CA9" w:rsidP="00BD3050">
      <w:pPr>
        <w:jc w:val="both"/>
        <w:rPr>
          <w:bCs/>
          <w:color w:val="000000"/>
          <w:sz w:val="22"/>
        </w:rPr>
      </w:pPr>
    </w:p>
    <w:p w14:paraId="670F9188" w14:textId="24590268" w:rsidR="00215C0D" w:rsidRDefault="00215C0D" w:rsidP="00215C0D">
      <w:pPr>
        <w:jc w:val="both"/>
        <w:rPr>
          <w:sz w:val="22"/>
        </w:rPr>
      </w:pPr>
      <w:r w:rsidRPr="00215C0D">
        <w:rPr>
          <w:bCs/>
          <w:color w:val="000000"/>
          <w:sz w:val="22"/>
        </w:rPr>
        <w:t>The DON SBIR/STTR Programs are mission-oriented programs that integrate the needs and requirements of the DON’s Fleet through research and development (R&amp;D) topics that have dual</w:t>
      </w:r>
      <w:r w:rsidRPr="00215C0D">
        <w:rPr>
          <w:bCs/>
          <w:color w:val="000000"/>
          <w:sz w:val="22"/>
        </w:rPr>
        <w:noBreakHyphen/>
        <w:t>use potential, but primarily</w:t>
      </w:r>
      <w:r w:rsidRPr="00215C0D">
        <w:rPr>
          <w:sz w:val="22"/>
        </w:rPr>
        <w:t xml:space="preserve"> address the needs of the DON. </w:t>
      </w:r>
      <w:r w:rsidR="00FF523D">
        <w:rPr>
          <w:sz w:val="22"/>
        </w:rPr>
        <w:t xml:space="preserve">More </w:t>
      </w:r>
      <w:r w:rsidRPr="00215C0D">
        <w:rPr>
          <w:sz w:val="22"/>
        </w:rPr>
        <w:t xml:space="preserve">information on the programs can be found on the DON SBIR/STTR website at </w:t>
      </w:r>
      <w:hyperlink r:id="rId14" w:history="1">
        <w:r w:rsidRPr="00215C0D">
          <w:rPr>
            <w:color w:val="0000FF"/>
            <w:sz w:val="22"/>
            <w:u w:val="single"/>
          </w:rPr>
          <w:t>www.navysbir.com</w:t>
        </w:r>
      </w:hyperlink>
      <w:r w:rsidRPr="00215C0D">
        <w:rPr>
          <w:sz w:val="22"/>
        </w:rPr>
        <w:t xml:space="preserve">. Additional information pertaining to the DON’s mission can be obtained from the DON website at </w:t>
      </w:r>
      <w:hyperlink r:id="rId15" w:history="1">
        <w:r w:rsidRPr="00215C0D">
          <w:rPr>
            <w:color w:val="0000FF"/>
            <w:sz w:val="22"/>
            <w:u w:val="single"/>
          </w:rPr>
          <w:t>www.navy.mil</w:t>
        </w:r>
      </w:hyperlink>
      <w:r w:rsidRPr="00215C0D">
        <w:rPr>
          <w:sz w:val="22"/>
        </w:rPr>
        <w:t xml:space="preserve">. </w:t>
      </w:r>
    </w:p>
    <w:p w14:paraId="5B4F041E" w14:textId="77777777" w:rsidR="001E3AC4" w:rsidRDefault="001E3AC4" w:rsidP="00215C0D">
      <w:pPr>
        <w:jc w:val="both"/>
        <w:rPr>
          <w:sz w:val="22"/>
        </w:rPr>
      </w:pPr>
    </w:p>
    <w:p w14:paraId="015DDA74" w14:textId="054CD66F" w:rsidR="001E3AC4" w:rsidRDefault="001E3AC4" w:rsidP="004D2142">
      <w:pPr>
        <w:tabs>
          <w:tab w:val="left" w:pos="-1440"/>
        </w:tabs>
        <w:jc w:val="both"/>
        <w:rPr>
          <w:bCs/>
          <w:color w:val="000000"/>
          <w:sz w:val="22"/>
        </w:rPr>
      </w:pPr>
      <w:r>
        <w:rPr>
          <w:bCs/>
          <w:color w:val="000000"/>
          <w:sz w:val="22"/>
        </w:rPr>
        <w:t xml:space="preserve">During government fiscal years (FY) 2012 through 2022, the Department of Defense (DoD) including the Department of the Navy (DON) may issue </w:t>
      </w:r>
      <w:r w:rsidR="00322800">
        <w:rPr>
          <w:bCs/>
          <w:color w:val="000000"/>
          <w:sz w:val="22"/>
        </w:rPr>
        <w:t xml:space="preserve">an award to a small business </w:t>
      </w:r>
      <w:r w:rsidR="009C6E8E">
        <w:rPr>
          <w:bCs/>
          <w:color w:val="000000"/>
          <w:sz w:val="22"/>
        </w:rPr>
        <w:t xml:space="preserve">firm </w:t>
      </w:r>
      <w:r w:rsidR="00322800">
        <w:rPr>
          <w:bCs/>
          <w:color w:val="000000"/>
          <w:sz w:val="22"/>
        </w:rPr>
        <w:t xml:space="preserve">under Phase II of the SBIR program with respect to a project, without regard to whether the </w:t>
      </w:r>
      <w:r w:rsidR="009C6E8E">
        <w:rPr>
          <w:bCs/>
          <w:color w:val="000000"/>
          <w:sz w:val="22"/>
        </w:rPr>
        <w:t>firm</w:t>
      </w:r>
      <w:r w:rsidR="00322800">
        <w:rPr>
          <w:bCs/>
          <w:color w:val="000000"/>
          <w:sz w:val="22"/>
        </w:rPr>
        <w:t xml:space="preserve"> was provided an award under Phase I of an SBIR progra</w:t>
      </w:r>
      <w:r w:rsidR="00E001DA">
        <w:rPr>
          <w:bCs/>
          <w:color w:val="000000"/>
          <w:sz w:val="22"/>
        </w:rPr>
        <w:t xml:space="preserve">m with respect to such project. Prior to such an award, the head of the agency, or their designee, must issue a written determination that the </w:t>
      </w:r>
      <w:r w:rsidR="009C6E8E">
        <w:rPr>
          <w:bCs/>
          <w:color w:val="000000"/>
          <w:sz w:val="22"/>
        </w:rPr>
        <w:t>firm</w:t>
      </w:r>
      <w:r w:rsidR="00E001DA">
        <w:rPr>
          <w:bCs/>
          <w:color w:val="000000"/>
          <w:sz w:val="22"/>
        </w:rPr>
        <w:t xml:space="preserve"> has demonstrated the scientific and technical merit and feasibility of the technology solution that appears to have commercial potential (for use by the government or in the public sector). The determination must be submitted to the Small Business Administration (SBA) prior to issuing the Phase II award. </w:t>
      </w:r>
      <w:r w:rsidR="00D120D5">
        <w:rPr>
          <w:bCs/>
          <w:color w:val="000000"/>
          <w:sz w:val="22"/>
        </w:rPr>
        <w:t>As such, DON issues t</w:t>
      </w:r>
      <w:r w:rsidR="00E001DA">
        <w:rPr>
          <w:bCs/>
          <w:color w:val="000000"/>
          <w:sz w:val="22"/>
        </w:rPr>
        <w:t xml:space="preserve">his </w:t>
      </w:r>
      <w:r w:rsidR="00D120D5">
        <w:rPr>
          <w:bCs/>
          <w:color w:val="000000"/>
          <w:sz w:val="22"/>
        </w:rPr>
        <w:t xml:space="preserve">portion of the </w:t>
      </w:r>
      <w:r w:rsidR="00E001DA">
        <w:rPr>
          <w:bCs/>
          <w:color w:val="000000"/>
          <w:sz w:val="22"/>
        </w:rPr>
        <w:t>BAA in accordance with the requirements of the Direct to Phase II</w:t>
      </w:r>
      <w:r w:rsidR="0014557F">
        <w:rPr>
          <w:bCs/>
          <w:color w:val="000000"/>
          <w:sz w:val="22"/>
        </w:rPr>
        <w:t xml:space="preserve"> (DP2)</w:t>
      </w:r>
      <w:r w:rsidR="00E001DA">
        <w:rPr>
          <w:bCs/>
          <w:color w:val="000000"/>
          <w:sz w:val="22"/>
        </w:rPr>
        <w:t xml:space="preserve"> authority. Only those </w:t>
      </w:r>
      <w:r w:rsidR="009C6E8E">
        <w:rPr>
          <w:bCs/>
          <w:color w:val="000000"/>
          <w:sz w:val="22"/>
        </w:rPr>
        <w:t>firms</w:t>
      </w:r>
      <w:r w:rsidR="00E001DA">
        <w:rPr>
          <w:bCs/>
          <w:color w:val="000000"/>
          <w:sz w:val="22"/>
        </w:rPr>
        <w:t xml:space="preserve"> that are capable of meeting the </w:t>
      </w:r>
      <w:r w:rsidR="0014557F">
        <w:rPr>
          <w:bCs/>
          <w:color w:val="000000"/>
          <w:sz w:val="22"/>
        </w:rPr>
        <w:t>DP2</w:t>
      </w:r>
      <w:r w:rsidR="00E001DA">
        <w:rPr>
          <w:bCs/>
          <w:color w:val="000000"/>
          <w:sz w:val="22"/>
        </w:rPr>
        <w:t xml:space="preserve"> proposal requirements may participate in this </w:t>
      </w:r>
      <w:r w:rsidR="0014557F">
        <w:rPr>
          <w:bCs/>
          <w:color w:val="000000"/>
          <w:sz w:val="22"/>
        </w:rPr>
        <w:t>DP2</w:t>
      </w:r>
      <w:r w:rsidR="00E001DA">
        <w:rPr>
          <w:bCs/>
          <w:color w:val="000000"/>
          <w:sz w:val="22"/>
        </w:rPr>
        <w:t xml:space="preserve"> BAA. No Phase I awards will be issued to the designated </w:t>
      </w:r>
      <w:r w:rsidR="0014557F">
        <w:rPr>
          <w:bCs/>
          <w:color w:val="000000"/>
          <w:sz w:val="22"/>
        </w:rPr>
        <w:t>DP2</w:t>
      </w:r>
      <w:r w:rsidR="00E001DA">
        <w:rPr>
          <w:bCs/>
          <w:color w:val="000000"/>
          <w:sz w:val="22"/>
        </w:rPr>
        <w:t xml:space="preserve"> topic.</w:t>
      </w:r>
      <w:r w:rsidRPr="00C912E3">
        <w:rPr>
          <w:bCs/>
          <w:color w:val="000000"/>
          <w:sz w:val="22"/>
        </w:rPr>
        <w:t xml:space="preserve"> </w:t>
      </w:r>
    </w:p>
    <w:p w14:paraId="089248AB" w14:textId="77777777" w:rsidR="00E001DA" w:rsidRDefault="00E001DA" w:rsidP="001E3AC4">
      <w:pPr>
        <w:tabs>
          <w:tab w:val="left" w:pos="-1440"/>
        </w:tabs>
        <w:rPr>
          <w:bCs/>
          <w:color w:val="000000"/>
          <w:sz w:val="22"/>
        </w:rPr>
      </w:pPr>
    </w:p>
    <w:p w14:paraId="6EFA8842" w14:textId="77777777" w:rsidR="00E001DA" w:rsidRDefault="00E001DA" w:rsidP="004D2142">
      <w:pPr>
        <w:tabs>
          <w:tab w:val="left" w:pos="-1440"/>
        </w:tabs>
        <w:jc w:val="both"/>
        <w:rPr>
          <w:bCs/>
          <w:color w:val="000000"/>
          <w:sz w:val="22"/>
        </w:rPr>
      </w:pPr>
      <w:r>
        <w:rPr>
          <w:bCs/>
          <w:color w:val="000000"/>
          <w:sz w:val="22"/>
        </w:rPr>
        <w:t xml:space="preserve">Each eligible topic requires documentation to determine that Phase I feasibility described in the Phase I section of the topic has been met. </w:t>
      </w:r>
    </w:p>
    <w:p w14:paraId="1C4A43E7" w14:textId="77777777" w:rsidR="001E3AC4" w:rsidRPr="00C912E3" w:rsidRDefault="001E3AC4" w:rsidP="001E3AC4">
      <w:pPr>
        <w:tabs>
          <w:tab w:val="left" w:pos="-1440"/>
        </w:tabs>
        <w:rPr>
          <w:color w:val="000000"/>
          <w:sz w:val="22"/>
        </w:rPr>
      </w:pPr>
    </w:p>
    <w:p w14:paraId="681BB0C9" w14:textId="77777777" w:rsidR="001E3AC4" w:rsidRPr="00C912E3" w:rsidRDefault="001E3AC4" w:rsidP="001E3AC4">
      <w:pPr>
        <w:tabs>
          <w:tab w:val="left" w:pos="-1440"/>
        </w:tabs>
        <w:rPr>
          <w:color w:val="000000"/>
          <w:sz w:val="22"/>
        </w:rPr>
      </w:pPr>
      <w:r w:rsidRPr="00C912E3">
        <w:rPr>
          <w:color w:val="000000"/>
          <w:sz w:val="22"/>
        </w:rPr>
        <w:t>The DON SBIR DP2 is a two-step process:</w:t>
      </w:r>
    </w:p>
    <w:p w14:paraId="0959EDE2" w14:textId="77777777" w:rsidR="001E3AC4" w:rsidRPr="00C912E3" w:rsidRDefault="001E3AC4" w:rsidP="001E3AC4">
      <w:pPr>
        <w:tabs>
          <w:tab w:val="left" w:pos="-1440"/>
        </w:tabs>
        <w:ind w:left="720"/>
        <w:rPr>
          <w:color w:val="000000"/>
          <w:sz w:val="22"/>
          <w:u w:val="single"/>
        </w:rPr>
      </w:pPr>
    </w:p>
    <w:p w14:paraId="5A07A8ED" w14:textId="4430511C" w:rsidR="001E3AC4" w:rsidRPr="00C912E3" w:rsidRDefault="001E3AC4" w:rsidP="004D2142">
      <w:pPr>
        <w:tabs>
          <w:tab w:val="left" w:pos="-1440"/>
        </w:tabs>
        <w:ind w:left="720"/>
        <w:jc w:val="both"/>
        <w:rPr>
          <w:color w:val="000000"/>
          <w:sz w:val="22"/>
        </w:rPr>
      </w:pPr>
      <w:r w:rsidRPr="00C912E3">
        <w:rPr>
          <w:color w:val="000000"/>
          <w:sz w:val="22"/>
          <w:u w:val="single"/>
        </w:rPr>
        <w:t>STEP ONE</w:t>
      </w:r>
      <w:r w:rsidRPr="00C912E3">
        <w:rPr>
          <w:color w:val="000000"/>
          <w:sz w:val="22"/>
        </w:rPr>
        <w:t xml:space="preserve">: Prepare and Submit a </w:t>
      </w:r>
      <w:r w:rsidRPr="00C912E3">
        <w:rPr>
          <w:sz w:val="22"/>
        </w:rPr>
        <w:t xml:space="preserve">Phase I Feasibility Proposal (instructions and link to template provided below). </w:t>
      </w:r>
      <w:r w:rsidRPr="00C912E3">
        <w:rPr>
          <w:color w:val="000000"/>
          <w:sz w:val="22"/>
        </w:rPr>
        <w:t>The purpose of the</w:t>
      </w:r>
      <w:r w:rsidRPr="00C912E3">
        <w:rPr>
          <w:b/>
          <w:color w:val="000000"/>
          <w:sz w:val="22"/>
        </w:rPr>
        <w:t xml:space="preserve"> </w:t>
      </w:r>
      <w:r w:rsidRPr="00C912E3">
        <w:rPr>
          <w:sz w:val="22"/>
        </w:rPr>
        <w:t xml:space="preserve">Phase I Feasibility Proposal </w:t>
      </w:r>
      <w:r w:rsidRPr="00C912E3">
        <w:rPr>
          <w:color w:val="000000"/>
          <w:sz w:val="22"/>
        </w:rPr>
        <w:t xml:space="preserve">is for the </w:t>
      </w:r>
      <w:r w:rsidR="009C6E8E">
        <w:rPr>
          <w:color w:val="000000"/>
          <w:sz w:val="22"/>
        </w:rPr>
        <w:t>firm</w:t>
      </w:r>
      <w:r w:rsidRPr="00C912E3">
        <w:rPr>
          <w:color w:val="000000"/>
          <w:sz w:val="22"/>
        </w:rPr>
        <w:t xml:space="preserve"> to </w:t>
      </w:r>
      <w:r w:rsidRPr="00364E5E">
        <w:rPr>
          <w:color w:val="000000"/>
          <w:sz w:val="22"/>
        </w:rPr>
        <w:t xml:space="preserve">provide documentation to substantiate that both Phase I feasibility and the scientific and technical merit described in the topic </w:t>
      </w:r>
      <w:r w:rsidRPr="00C912E3">
        <w:rPr>
          <w:color w:val="000000"/>
          <w:sz w:val="22"/>
        </w:rPr>
        <w:t>have been met</w:t>
      </w:r>
      <w:r>
        <w:rPr>
          <w:color w:val="000000"/>
          <w:sz w:val="22"/>
        </w:rPr>
        <w:t xml:space="preserve">. </w:t>
      </w:r>
      <w:r w:rsidRPr="00C912E3">
        <w:rPr>
          <w:color w:val="000000"/>
          <w:sz w:val="22"/>
          <w:u w:val="single"/>
        </w:rPr>
        <w:t>The Phase I Feasibility Proposal must</w:t>
      </w:r>
      <w:r w:rsidRPr="00C912E3">
        <w:rPr>
          <w:color w:val="000000"/>
          <w:sz w:val="22"/>
        </w:rPr>
        <w:t xml:space="preserve">: demonstrate that </w:t>
      </w:r>
      <w:r w:rsidRPr="00C912E3">
        <w:rPr>
          <w:sz w:val="22"/>
        </w:rPr>
        <w:t xml:space="preserve">the </w:t>
      </w:r>
      <w:r w:rsidR="009C6E8E">
        <w:rPr>
          <w:sz w:val="22"/>
        </w:rPr>
        <w:t>firm</w:t>
      </w:r>
      <w:r w:rsidRPr="00C912E3">
        <w:rPr>
          <w:sz w:val="22"/>
        </w:rPr>
        <w:t xml:space="preserve"> performed Phase I-type research and development (R&amp;D) and </w:t>
      </w:r>
      <w:r w:rsidRPr="00C912E3">
        <w:rPr>
          <w:color w:val="000000"/>
          <w:sz w:val="22"/>
        </w:rPr>
        <w:t xml:space="preserve">provide a concise summary of Phase II objectives, work plan, related research, key personnel, transition/commercialization plan, and estimated costs. </w:t>
      </w:r>
      <w:r w:rsidR="00D120D5">
        <w:rPr>
          <w:color w:val="000000"/>
          <w:sz w:val="22"/>
        </w:rPr>
        <w:t xml:space="preserve">Feasibility documentation MUST NOT be solely based on work performed under prior or ongoing federally funded SBIR/STTR work. </w:t>
      </w:r>
      <w:r w:rsidRPr="00C912E3">
        <w:rPr>
          <w:color w:val="000000"/>
          <w:sz w:val="22"/>
        </w:rPr>
        <w:t xml:space="preserve">The government will evaluate Phase I Feasibility Proposals and select </w:t>
      </w:r>
      <w:r w:rsidR="009C6E8E">
        <w:rPr>
          <w:color w:val="000000"/>
          <w:sz w:val="22"/>
        </w:rPr>
        <w:t>firms</w:t>
      </w:r>
      <w:r w:rsidRPr="00C912E3">
        <w:rPr>
          <w:color w:val="000000"/>
          <w:sz w:val="22"/>
        </w:rPr>
        <w:t xml:space="preserve"> to submit a Full DP2 Proposal. </w:t>
      </w:r>
      <w:r w:rsidR="00D120D5" w:rsidRPr="00D120D5">
        <w:rPr>
          <w:color w:val="000000"/>
          <w:sz w:val="22"/>
          <w:u w:val="single"/>
        </w:rPr>
        <w:t xml:space="preserve">Demonstrating proof of feasibility is a requirement for a DP2 award. </w:t>
      </w:r>
      <w:r w:rsidRPr="00C912E3">
        <w:rPr>
          <w:color w:val="000000"/>
          <w:sz w:val="22"/>
          <w:u w:val="single"/>
        </w:rPr>
        <w:t xml:space="preserve">The </w:t>
      </w:r>
      <w:r w:rsidR="009C6E8E">
        <w:rPr>
          <w:color w:val="000000"/>
          <w:sz w:val="22"/>
          <w:u w:val="single"/>
        </w:rPr>
        <w:t>firm</w:t>
      </w:r>
      <w:r w:rsidRPr="00C912E3">
        <w:rPr>
          <w:color w:val="000000"/>
          <w:sz w:val="22"/>
          <w:u w:val="single"/>
        </w:rPr>
        <w:t xml:space="preserve"> must submit a Phase I Feasibility Proposal to be considered for selection to submit a Full DP2 Proposal</w:t>
      </w:r>
      <w:r w:rsidRPr="00C912E3">
        <w:rPr>
          <w:color w:val="000000"/>
          <w:sz w:val="22"/>
        </w:rPr>
        <w:t xml:space="preserve">.  </w:t>
      </w:r>
    </w:p>
    <w:p w14:paraId="72E88448" w14:textId="77777777" w:rsidR="001E3AC4" w:rsidRPr="00C912E3" w:rsidRDefault="001E3AC4" w:rsidP="001E3AC4">
      <w:pPr>
        <w:tabs>
          <w:tab w:val="left" w:pos="-1440"/>
        </w:tabs>
        <w:ind w:left="720"/>
        <w:rPr>
          <w:color w:val="000000"/>
          <w:sz w:val="22"/>
        </w:rPr>
      </w:pPr>
    </w:p>
    <w:p w14:paraId="5D27A57B" w14:textId="1B140D2A" w:rsidR="001E3AC4" w:rsidRPr="00C912E3" w:rsidRDefault="001E3AC4" w:rsidP="004D2142">
      <w:pPr>
        <w:pStyle w:val="ListParagraph"/>
        <w:jc w:val="both"/>
        <w:rPr>
          <w:color w:val="000000"/>
          <w:sz w:val="22"/>
          <w:szCs w:val="22"/>
        </w:rPr>
      </w:pPr>
      <w:r w:rsidRPr="00C912E3">
        <w:rPr>
          <w:color w:val="000000"/>
          <w:sz w:val="22"/>
          <w:szCs w:val="22"/>
          <w:u w:val="single"/>
        </w:rPr>
        <w:t>STEP TWO</w:t>
      </w:r>
      <w:r w:rsidRPr="00C912E3">
        <w:rPr>
          <w:color w:val="000000"/>
          <w:sz w:val="22"/>
          <w:szCs w:val="22"/>
        </w:rPr>
        <w:t xml:space="preserve">: Prepare and Submit a Full DP2 Proposal. </w:t>
      </w:r>
      <w:r w:rsidRPr="00364E5E">
        <w:rPr>
          <w:color w:val="000000"/>
          <w:sz w:val="22"/>
          <w:szCs w:val="22"/>
          <w:u w:val="single"/>
        </w:rPr>
        <w:t>If selected, t</w:t>
      </w:r>
      <w:r w:rsidRPr="00364E5E">
        <w:rPr>
          <w:rStyle w:val="Hyperlink"/>
          <w:rFonts w:eastAsiaTheme="majorEastAsia"/>
          <w:color w:val="auto"/>
          <w:sz w:val="22"/>
          <w:szCs w:val="22"/>
        </w:rPr>
        <w:t>he</w:t>
      </w:r>
      <w:r w:rsidRPr="00C912E3">
        <w:rPr>
          <w:rStyle w:val="Hyperlink"/>
          <w:rFonts w:eastAsiaTheme="majorEastAsia"/>
          <w:color w:val="auto"/>
          <w:sz w:val="22"/>
          <w:szCs w:val="22"/>
        </w:rPr>
        <w:t xml:space="preserve"> cognizant SYSCOM Program Office will contact the </w:t>
      </w:r>
      <w:r w:rsidR="009C6E8E">
        <w:rPr>
          <w:rStyle w:val="Hyperlink"/>
          <w:rFonts w:eastAsiaTheme="majorEastAsia"/>
          <w:color w:val="auto"/>
          <w:sz w:val="22"/>
          <w:szCs w:val="22"/>
        </w:rPr>
        <w:t>firm</w:t>
      </w:r>
      <w:r w:rsidRPr="00C912E3">
        <w:rPr>
          <w:rStyle w:val="Hyperlink"/>
          <w:rFonts w:eastAsiaTheme="majorEastAsia"/>
          <w:color w:val="auto"/>
          <w:sz w:val="22"/>
          <w:szCs w:val="22"/>
        </w:rPr>
        <w:t xml:space="preserve"> directly to provide instructions on how to submit a Full DP2 Proposal. </w:t>
      </w:r>
    </w:p>
    <w:p w14:paraId="55044C1B" w14:textId="77777777" w:rsidR="001E3AC4" w:rsidRPr="00C912E3" w:rsidRDefault="001E3AC4" w:rsidP="001E3AC4">
      <w:pPr>
        <w:tabs>
          <w:tab w:val="left" w:pos="-1440"/>
        </w:tabs>
        <w:rPr>
          <w:color w:val="000000"/>
          <w:sz w:val="22"/>
        </w:rPr>
      </w:pPr>
    </w:p>
    <w:p w14:paraId="20E87B48" w14:textId="3A75D381" w:rsidR="001E3AC4" w:rsidRPr="00C912E3" w:rsidRDefault="001E3AC4" w:rsidP="004D2142">
      <w:pPr>
        <w:jc w:val="both"/>
        <w:rPr>
          <w:sz w:val="22"/>
        </w:rPr>
      </w:pPr>
      <w:r w:rsidRPr="00C912E3">
        <w:rPr>
          <w:bCs/>
          <w:color w:val="000000"/>
          <w:sz w:val="22"/>
        </w:rPr>
        <w:t>DON SBIR reserves the right to refuse to make any awards under th</w:t>
      </w:r>
      <w:r w:rsidR="00364E5E">
        <w:rPr>
          <w:bCs/>
          <w:color w:val="000000"/>
          <w:sz w:val="22"/>
        </w:rPr>
        <w:t>is</w:t>
      </w:r>
      <w:r w:rsidRPr="00C912E3">
        <w:rPr>
          <w:bCs/>
          <w:color w:val="000000"/>
          <w:sz w:val="22"/>
        </w:rPr>
        <w:t xml:space="preserve"> D</w:t>
      </w:r>
      <w:r w:rsidR="00364E5E">
        <w:rPr>
          <w:bCs/>
          <w:color w:val="000000"/>
          <w:sz w:val="22"/>
        </w:rPr>
        <w:t>P2 BAA</w:t>
      </w:r>
      <w:r w:rsidRPr="00C912E3">
        <w:rPr>
          <w:bCs/>
          <w:color w:val="000000"/>
          <w:sz w:val="22"/>
        </w:rPr>
        <w:t xml:space="preserve">. All awards are subject to availability of funds and successful negotiations. </w:t>
      </w:r>
      <w:r w:rsidR="007D1389">
        <w:rPr>
          <w:sz w:val="22"/>
        </w:rPr>
        <w:t>Proposers</w:t>
      </w:r>
      <w:r w:rsidR="007D1389" w:rsidRPr="00C912E3">
        <w:rPr>
          <w:sz w:val="22"/>
        </w:rPr>
        <w:t xml:space="preserve"> </w:t>
      </w:r>
      <w:r w:rsidR="00672BD0">
        <w:rPr>
          <w:sz w:val="22"/>
        </w:rPr>
        <w:t>are to</w:t>
      </w:r>
      <w:r w:rsidRPr="00C912E3">
        <w:rPr>
          <w:sz w:val="22"/>
        </w:rPr>
        <w:t xml:space="preserve"> read the topic requirements carefully. The Government is not responsible for expenditures by the </w:t>
      </w:r>
      <w:r w:rsidR="007D1389">
        <w:rPr>
          <w:sz w:val="22"/>
        </w:rPr>
        <w:t>proposer</w:t>
      </w:r>
      <w:r w:rsidR="007D1389" w:rsidRPr="00C912E3">
        <w:rPr>
          <w:sz w:val="22"/>
        </w:rPr>
        <w:t xml:space="preserve"> </w:t>
      </w:r>
      <w:r w:rsidRPr="00C912E3">
        <w:rPr>
          <w:sz w:val="22"/>
        </w:rPr>
        <w:t xml:space="preserve">prior to award of a contract. For </w:t>
      </w:r>
      <w:r w:rsidR="00F30040">
        <w:rPr>
          <w:sz w:val="22"/>
        </w:rPr>
        <w:t>20.</w:t>
      </w:r>
      <w:r w:rsidR="00382E4D">
        <w:rPr>
          <w:sz w:val="22"/>
        </w:rPr>
        <w:t>2</w:t>
      </w:r>
      <w:r w:rsidRPr="00C912E3">
        <w:rPr>
          <w:sz w:val="22"/>
        </w:rPr>
        <w:t xml:space="preserve"> topics designated as DP2, DON will accept only Phase I Feasibility Proposals (described below). </w:t>
      </w:r>
    </w:p>
    <w:p w14:paraId="11CE39F9" w14:textId="77777777" w:rsidR="00215C0D" w:rsidRPr="00215C0D" w:rsidRDefault="00215C0D" w:rsidP="00215C0D">
      <w:pPr>
        <w:jc w:val="both"/>
        <w:rPr>
          <w:sz w:val="22"/>
        </w:rPr>
      </w:pPr>
    </w:p>
    <w:p w14:paraId="2F92BD81" w14:textId="427EDDED" w:rsidR="00215C0D" w:rsidRPr="00215C0D" w:rsidRDefault="0014557F" w:rsidP="00215C0D">
      <w:pPr>
        <w:spacing w:after="60"/>
        <w:jc w:val="both"/>
        <w:outlineLvl w:val="0"/>
        <w:rPr>
          <w:b/>
          <w:sz w:val="22"/>
        </w:rPr>
      </w:pPr>
      <w:r>
        <w:rPr>
          <w:b/>
          <w:sz w:val="22"/>
        </w:rPr>
        <w:t xml:space="preserve">DP2 </w:t>
      </w:r>
      <w:r w:rsidR="00215C0D" w:rsidRPr="00215C0D">
        <w:rPr>
          <w:b/>
          <w:sz w:val="22"/>
        </w:rPr>
        <w:t>PROPOSAL SUBMISSION REQUIREMENTS</w:t>
      </w:r>
    </w:p>
    <w:p w14:paraId="2B7CD29C" w14:textId="14E612E7" w:rsidR="00215C0D" w:rsidRDefault="00215C0D" w:rsidP="00215C0D">
      <w:pPr>
        <w:jc w:val="both"/>
        <w:rPr>
          <w:sz w:val="22"/>
        </w:rPr>
      </w:pPr>
      <w:r w:rsidRPr="00215C0D">
        <w:rPr>
          <w:sz w:val="22"/>
        </w:rPr>
        <w:t xml:space="preserve">The following </w:t>
      </w:r>
      <w:r w:rsidRPr="00215C0D">
        <w:rPr>
          <w:sz w:val="22"/>
          <w:u w:val="single"/>
        </w:rPr>
        <w:t>MUST BE MET</w:t>
      </w:r>
      <w:r w:rsidRPr="00215C0D">
        <w:rPr>
          <w:sz w:val="22"/>
        </w:rPr>
        <w:t xml:space="preserve"> or the proposal </w:t>
      </w:r>
      <w:r w:rsidRPr="007864C4">
        <w:rPr>
          <w:sz w:val="22"/>
        </w:rPr>
        <w:t xml:space="preserve">will be deemed noncompliant and </w:t>
      </w:r>
      <w:r w:rsidR="007864C4" w:rsidRPr="007864C4">
        <w:rPr>
          <w:sz w:val="22"/>
        </w:rPr>
        <w:t>may</w:t>
      </w:r>
      <w:r w:rsidRPr="007864C4">
        <w:rPr>
          <w:sz w:val="22"/>
        </w:rPr>
        <w:t xml:space="preserve"> be </w:t>
      </w:r>
      <w:r w:rsidRPr="007864C4">
        <w:rPr>
          <w:sz w:val="22"/>
          <w:u w:val="single"/>
        </w:rPr>
        <w:t>REJECTED</w:t>
      </w:r>
      <w:r w:rsidRPr="007864C4">
        <w:rPr>
          <w:sz w:val="22"/>
        </w:rPr>
        <w:t>.</w:t>
      </w:r>
    </w:p>
    <w:p w14:paraId="6EA86EDB" w14:textId="77777777" w:rsidR="008234F2" w:rsidRDefault="008234F2" w:rsidP="00215C0D">
      <w:pPr>
        <w:jc w:val="both"/>
        <w:rPr>
          <w:sz w:val="22"/>
        </w:rPr>
      </w:pPr>
    </w:p>
    <w:p w14:paraId="4EB1ACA3" w14:textId="77777777" w:rsidR="008234F2" w:rsidRDefault="008234F2" w:rsidP="008234F2">
      <w:pPr>
        <w:numPr>
          <w:ilvl w:val="0"/>
          <w:numId w:val="1"/>
        </w:numPr>
        <w:ind w:left="720"/>
        <w:contextualSpacing/>
        <w:jc w:val="both"/>
        <w:rPr>
          <w:sz w:val="22"/>
        </w:rPr>
      </w:pPr>
      <w:r w:rsidRPr="008234F2">
        <w:rPr>
          <w:b/>
          <w:sz w:val="22"/>
        </w:rPr>
        <w:t>Eligibility.</w:t>
      </w:r>
      <w:r>
        <w:rPr>
          <w:sz w:val="22"/>
        </w:rPr>
        <w:t xml:space="preserve"> Each </w:t>
      </w:r>
      <w:r w:rsidR="004C7FD5">
        <w:rPr>
          <w:sz w:val="22"/>
        </w:rPr>
        <w:t xml:space="preserve">proposing firm </w:t>
      </w:r>
      <w:r>
        <w:rPr>
          <w:sz w:val="22"/>
        </w:rPr>
        <w:t xml:space="preserve">must: </w:t>
      </w:r>
    </w:p>
    <w:p w14:paraId="1138C468" w14:textId="77777777" w:rsidR="008234F2" w:rsidRDefault="008234F2" w:rsidP="008234F2">
      <w:pPr>
        <w:numPr>
          <w:ilvl w:val="1"/>
          <w:numId w:val="1"/>
        </w:numPr>
        <w:ind w:left="1080"/>
        <w:contextualSpacing/>
        <w:jc w:val="both"/>
        <w:rPr>
          <w:sz w:val="22"/>
        </w:rPr>
      </w:pPr>
      <w:r>
        <w:rPr>
          <w:sz w:val="22"/>
        </w:rPr>
        <w:t>Have demonstrated feasibility of Phase I-type R&amp;D work</w:t>
      </w:r>
    </w:p>
    <w:p w14:paraId="49D37F6E" w14:textId="77777777" w:rsidR="008234F2" w:rsidRDefault="008234F2" w:rsidP="008234F2">
      <w:pPr>
        <w:numPr>
          <w:ilvl w:val="1"/>
          <w:numId w:val="1"/>
        </w:numPr>
        <w:ind w:left="1080"/>
        <w:contextualSpacing/>
        <w:jc w:val="both"/>
        <w:rPr>
          <w:sz w:val="22"/>
        </w:rPr>
      </w:pPr>
      <w:r>
        <w:rPr>
          <w:sz w:val="22"/>
        </w:rPr>
        <w:t>Have submitted a Phase I Feasibility Proposal for evaluation</w:t>
      </w:r>
    </w:p>
    <w:p w14:paraId="51CC7AE6" w14:textId="77777777" w:rsidR="008234F2" w:rsidRDefault="004C7FD5" w:rsidP="000E3258">
      <w:pPr>
        <w:numPr>
          <w:ilvl w:val="1"/>
          <w:numId w:val="1"/>
        </w:numPr>
        <w:ind w:left="1080"/>
        <w:contextualSpacing/>
        <w:jc w:val="both"/>
        <w:rPr>
          <w:sz w:val="22"/>
        </w:rPr>
      </w:pPr>
      <w:r>
        <w:rPr>
          <w:sz w:val="22"/>
        </w:rPr>
        <w:t xml:space="preserve">Meet Offeror Eligibility and Performance Requirements </w:t>
      </w:r>
      <w:r w:rsidR="000E3258">
        <w:rPr>
          <w:sz w:val="22"/>
        </w:rPr>
        <w:t xml:space="preserve">as defined in section 4.2 </w:t>
      </w:r>
      <w:r w:rsidR="000E3258" w:rsidRPr="000E3258">
        <w:rPr>
          <w:sz w:val="22"/>
        </w:rPr>
        <w:t>o</w:t>
      </w:r>
      <w:r w:rsidR="000E3258">
        <w:rPr>
          <w:sz w:val="22"/>
        </w:rPr>
        <w:t>f the DoD SBIR/STTR Program BAA</w:t>
      </w:r>
    </w:p>
    <w:p w14:paraId="2C939E86" w14:textId="71A2BC8E" w:rsidR="004C7FD5" w:rsidRDefault="004C7FD5" w:rsidP="007B66BD">
      <w:pPr>
        <w:numPr>
          <w:ilvl w:val="1"/>
          <w:numId w:val="1"/>
        </w:numPr>
        <w:ind w:left="1080"/>
        <w:contextualSpacing/>
        <w:jc w:val="both"/>
        <w:rPr>
          <w:sz w:val="22"/>
        </w:rPr>
      </w:pPr>
      <w:r w:rsidRPr="004C7FD5">
        <w:rPr>
          <w:sz w:val="22"/>
        </w:rPr>
        <w:t>During the Phase II</w:t>
      </w:r>
      <w:r w:rsidR="0014557F">
        <w:rPr>
          <w:sz w:val="22"/>
        </w:rPr>
        <w:t xml:space="preserve"> award</w:t>
      </w:r>
      <w:r w:rsidRPr="004C7FD5">
        <w:rPr>
          <w:sz w:val="22"/>
        </w:rPr>
        <w:t xml:space="preserve">, primary employment of the principal investigator (PI) must be with the </w:t>
      </w:r>
      <w:r w:rsidR="009C6E8E">
        <w:rPr>
          <w:sz w:val="22"/>
        </w:rPr>
        <w:t>firm</w:t>
      </w:r>
      <w:r w:rsidRPr="004C7FD5">
        <w:rPr>
          <w:sz w:val="22"/>
        </w:rPr>
        <w:t xml:space="preserve"> at the time of award and during the conduct of the proposed project. </w:t>
      </w:r>
      <w:r>
        <w:rPr>
          <w:sz w:val="22"/>
        </w:rPr>
        <w:t>Primary employment means that more than one-half of the PI’s time is</w:t>
      </w:r>
      <w:r w:rsidR="007B66BD">
        <w:rPr>
          <w:sz w:val="22"/>
        </w:rPr>
        <w:t xml:space="preserve"> spent in the employ of the </w:t>
      </w:r>
      <w:r w:rsidR="009C6E8E">
        <w:rPr>
          <w:sz w:val="22"/>
        </w:rPr>
        <w:t>firm</w:t>
      </w:r>
    </w:p>
    <w:p w14:paraId="363553C5" w14:textId="7F4974E3" w:rsidR="007B66BD" w:rsidRDefault="007B66BD" w:rsidP="007B66BD">
      <w:pPr>
        <w:numPr>
          <w:ilvl w:val="1"/>
          <w:numId w:val="1"/>
        </w:numPr>
        <w:ind w:left="1080"/>
        <w:contextualSpacing/>
        <w:jc w:val="both"/>
        <w:rPr>
          <w:sz w:val="22"/>
        </w:rPr>
      </w:pPr>
      <w:r>
        <w:rPr>
          <w:sz w:val="22"/>
        </w:rPr>
        <w:lastRenderedPageBreak/>
        <w:t xml:space="preserve">Register in the System for Award Management (SAM) as defined in section 4.16 of the DoD SBIR/STTR Program BAA. To register, visit </w:t>
      </w:r>
      <w:hyperlink r:id="rId16" w:history="1">
        <w:r w:rsidR="00DB0ECE" w:rsidRPr="0005060C">
          <w:rPr>
            <w:rStyle w:val="Hyperlink"/>
          </w:rPr>
          <w:t>https://beta.sam.gov</w:t>
        </w:r>
      </w:hyperlink>
      <w:r w:rsidR="00DB0ECE">
        <w:t xml:space="preserve"> </w:t>
      </w:r>
      <w:r>
        <w:rPr>
          <w:sz w:val="22"/>
        </w:rPr>
        <w:t xml:space="preserve">  </w:t>
      </w:r>
    </w:p>
    <w:p w14:paraId="36DB8548" w14:textId="77777777" w:rsidR="007B66BD" w:rsidRPr="007B66BD" w:rsidRDefault="007B66BD" w:rsidP="007B66BD">
      <w:pPr>
        <w:ind w:left="1080"/>
        <w:contextualSpacing/>
        <w:jc w:val="both"/>
        <w:rPr>
          <w:sz w:val="22"/>
        </w:rPr>
      </w:pPr>
    </w:p>
    <w:p w14:paraId="55668421" w14:textId="6BD05169" w:rsidR="003A17D5" w:rsidRPr="003A17D5" w:rsidRDefault="003A17D5" w:rsidP="003A17D5">
      <w:pPr>
        <w:numPr>
          <w:ilvl w:val="0"/>
          <w:numId w:val="1"/>
        </w:numPr>
        <w:ind w:left="720"/>
        <w:contextualSpacing/>
        <w:jc w:val="both"/>
        <w:rPr>
          <w:rFonts w:eastAsia="Times New Roman" w:cs="Times New Roman"/>
          <w:sz w:val="22"/>
        </w:rPr>
      </w:pPr>
      <w:r>
        <w:rPr>
          <w:rFonts w:eastAsia="Times New Roman" w:cs="Times New Roman"/>
          <w:b/>
          <w:sz w:val="22"/>
        </w:rPr>
        <w:t xml:space="preserve">Proposal </w:t>
      </w:r>
      <w:r w:rsidRPr="00D44BFC">
        <w:rPr>
          <w:rFonts w:eastAsia="Times New Roman" w:cs="Times New Roman"/>
          <w:b/>
          <w:sz w:val="22"/>
        </w:rPr>
        <w:t xml:space="preserve">Cover Sheet (Volume 1).  </w:t>
      </w:r>
      <w:r>
        <w:rPr>
          <w:rFonts w:eastAsia="Times New Roman" w:cs="Times New Roman"/>
          <w:sz w:val="22"/>
        </w:rPr>
        <w:t>As specified in DoD SBIR/STTR BAA section 5.4(a).</w:t>
      </w:r>
    </w:p>
    <w:p w14:paraId="4E0FF10B" w14:textId="77777777" w:rsidR="003A17D5" w:rsidRPr="003A17D5" w:rsidRDefault="003A17D5" w:rsidP="003A17D5">
      <w:pPr>
        <w:ind w:left="360"/>
        <w:contextualSpacing/>
        <w:jc w:val="both"/>
        <w:rPr>
          <w:rFonts w:eastAsia="Times New Roman" w:cs="Times New Roman"/>
          <w:sz w:val="22"/>
        </w:rPr>
      </w:pPr>
    </w:p>
    <w:p w14:paraId="1E94F765" w14:textId="0263E9E0"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b/>
          <w:sz w:val="22"/>
        </w:rPr>
        <w:t>Technical Volume (Volume 2).</w:t>
      </w:r>
      <w:r w:rsidRPr="00215C0D">
        <w:rPr>
          <w:rFonts w:eastAsia="Times New Roman" w:cs="Times New Roman"/>
          <w:sz w:val="22"/>
        </w:rPr>
        <w:t xml:space="preserve"> Technical Volume (Volume 2) must meet the following requirements:</w:t>
      </w:r>
    </w:p>
    <w:p w14:paraId="046CF1C7" w14:textId="77777777" w:rsidR="00663244" w:rsidRDefault="00663244" w:rsidP="00215C0D">
      <w:pPr>
        <w:numPr>
          <w:ilvl w:val="1"/>
          <w:numId w:val="1"/>
        </w:numPr>
        <w:ind w:left="1080"/>
        <w:contextualSpacing/>
        <w:jc w:val="both"/>
        <w:rPr>
          <w:rFonts w:eastAsia="Times New Roman" w:cs="Times New Roman"/>
          <w:sz w:val="22"/>
        </w:rPr>
      </w:pPr>
      <w:r>
        <w:rPr>
          <w:rFonts w:eastAsia="Times New Roman" w:cs="Times New Roman"/>
          <w:sz w:val="22"/>
        </w:rPr>
        <w:t>Content is responsive to evaluation criteria as specified in DoD SBIR/STTR Program BAA section 6.0</w:t>
      </w:r>
    </w:p>
    <w:p w14:paraId="53E3A82B" w14:textId="5BFFEE7C" w:rsidR="00215C0D" w:rsidRPr="00215C0D" w:rsidRDefault="00215C0D" w:rsidP="00215C0D">
      <w:pPr>
        <w:numPr>
          <w:ilvl w:val="1"/>
          <w:numId w:val="1"/>
        </w:numPr>
        <w:ind w:left="1080"/>
        <w:contextualSpacing/>
        <w:jc w:val="both"/>
        <w:rPr>
          <w:rFonts w:eastAsia="Times New Roman" w:cs="Times New Roman"/>
          <w:sz w:val="22"/>
        </w:rPr>
      </w:pPr>
      <w:r w:rsidRPr="00215C0D">
        <w:rPr>
          <w:rFonts w:eastAsia="Times New Roman" w:cs="Times New Roman"/>
          <w:sz w:val="22"/>
        </w:rPr>
        <w:t xml:space="preserve">Not to exceed </w:t>
      </w:r>
      <w:r w:rsidR="009D1223">
        <w:rPr>
          <w:rFonts w:eastAsia="Times New Roman" w:cs="Times New Roman"/>
          <w:b/>
          <w:sz w:val="22"/>
        </w:rPr>
        <w:t>50</w:t>
      </w:r>
      <w:r w:rsidRPr="00215C0D">
        <w:rPr>
          <w:rFonts w:eastAsia="Times New Roman" w:cs="Times New Roman"/>
          <w:sz w:val="22"/>
        </w:rPr>
        <w:t xml:space="preserve"> pages, regardless of page content</w:t>
      </w:r>
    </w:p>
    <w:p w14:paraId="5FB76897" w14:textId="77777777" w:rsidR="00215C0D" w:rsidRPr="00215C0D" w:rsidRDefault="00215C0D" w:rsidP="00215C0D">
      <w:pPr>
        <w:numPr>
          <w:ilvl w:val="1"/>
          <w:numId w:val="1"/>
        </w:numPr>
        <w:ind w:left="1080"/>
        <w:contextualSpacing/>
        <w:jc w:val="both"/>
        <w:rPr>
          <w:rFonts w:eastAsia="Times New Roman" w:cs="Times New Roman"/>
          <w:sz w:val="22"/>
        </w:rPr>
      </w:pPr>
      <w:r w:rsidRPr="00215C0D">
        <w:rPr>
          <w:rFonts w:eastAsia="Times New Roman" w:cs="Times New Roman"/>
          <w:sz w:val="22"/>
        </w:rPr>
        <w:t>Single column format, single-spaced typed lines</w:t>
      </w:r>
    </w:p>
    <w:p w14:paraId="1A344312" w14:textId="77777777" w:rsidR="00215C0D" w:rsidRPr="00215C0D" w:rsidRDefault="00215C0D" w:rsidP="00215C0D">
      <w:pPr>
        <w:numPr>
          <w:ilvl w:val="1"/>
          <w:numId w:val="1"/>
        </w:numPr>
        <w:ind w:left="1080"/>
        <w:contextualSpacing/>
        <w:jc w:val="both"/>
        <w:rPr>
          <w:rFonts w:eastAsia="Times New Roman" w:cs="Times New Roman"/>
          <w:sz w:val="22"/>
        </w:rPr>
      </w:pPr>
      <w:r w:rsidRPr="00215C0D">
        <w:rPr>
          <w:rFonts w:eastAsia="Times New Roman" w:cs="Times New Roman"/>
          <w:sz w:val="22"/>
        </w:rPr>
        <w:t>Standard 8 ½” x 11” paper</w:t>
      </w:r>
    </w:p>
    <w:p w14:paraId="61FDD7B0" w14:textId="77777777" w:rsidR="00215C0D" w:rsidRPr="00215C0D" w:rsidRDefault="00215C0D" w:rsidP="00215C0D">
      <w:pPr>
        <w:numPr>
          <w:ilvl w:val="1"/>
          <w:numId w:val="1"/>
        </w:numPr>
        <w:ind w:left="1080"/>
        <w:contextualSpacing/>
        <w:jc w:val="both"/>
        <w:rPr>
          <w:rFonts w:eastAsia="Times New Roman" w:cs="Times New Roman"/>
          <w:sz w:val="22"/>
        </w:rPr>
      </w:pPr>
      <w:r w:rsidRPr="00215C0D">
        <w:rPr>
          <w:rFonts w:eastAsia="Times New Roman" w:cs="Times New Roman"/>
          <w:sz w:val="22"/>
        </w:rPr>
        <w:t>Page margins one-inch on all sides. A header and footer may be included in the one-inch margin.</w:t>
      </w:r>
    </w:p>
    <w:p w14:paraId="62486615" w14:textId="77777777" w:rsidR="00215C0D" w:rsidRPr="00215C0D" w:rsidRDefault="00215C0D" w:rsidP="00215C0D">
      <w:pPr>
        <w:numPr>
          <w:ilvl w:val="1"/>
          <w:numId w:val="1"/>
        </w:numPr>
        <w:ind w:left="1080"/>
        <w:contextualSpacing/>
        <w:jc w:val="both"/>
        <w:rPr>
          <w:rFonts w:eastAsia="Times New Roman" w:cs="Times New Roman"/>
          <w:szCs w:val="24"/>
        </w:rPr>
      </w:pPr>
      <w:r w:rsidRPr="00215C0D">
        <w:rPr>
          <w:rFonts w:eastAsia="Times New Roman" w:cs="Times New Roman"/>
          <w:sz w:val="22"/>
        </w:rPr>
        <w:t>No font size smaller than 10-point*</w:t>
      </w:r>
    </w:p>
    <w:p w14:paraId="0E812A18" w14:textId="77777777" w:rsidR="00215C0D" w:rsidRPr="00215C0D" w:rsidRDefault="00215C0D" w:rsidP="00215C0D">
      <w:pPr>
        <w:jc w:val="both"/>
      </w:pPr>
    </w:p>
    <w:p w14:paraId="0C3894DE" w14:textId="5C4BDCE5" w:rsidR="00215C0D" w:rsidRPr="00215C0D" w:rsidRDefault="00215C0D" w:rsidP="00215C0D">
      <w:pPr>
        <w:ind w:left="720"/>
        <w:jc w:val="both"/>
        <w:rPr>
          <w:sz w:val="22"/>
        </w:rPr>
      </w:pPr>
      <w:r w:rsidRPr="00215C0D">
        <w:rPr>
          <w:sz w:val="22"/>
        </w:rPr>
        <w:t xml:space="preserve">*For headers, footers, </w:t>
      </w:r>
      <w:r w:rsidR="0014557F">
        <w:rPr>
          <w:sz w:val="22"/>
        </w:rPr>
        <w:t xml:space="preserve">listed references, </w:t>
      </w:r>
      <w:r w:rsidRPr="00215C0D">
        <w:rPr>
          <w:sz w:val="22"/>
        </w:rPr>
        <w:t xml:space="preserve">and imbedded tables, figures, images, or graphics that include text, a font size smaller than 10-point is allowable; however, proposers are cautioned that the text may be unreadable by evaluators. </w:t>
      </w:r>
    </w:p>
    <w:p w14:paraId="71B3BA53" w14:textId="77777777" w:rsidR="00215C0D" w:rsidRPr="00215C0D" w:rsidRDefault="00215C0D" w:rsidP="00215C0D">
      <w:pPr>
        <w:ind w:left="720"/>
        <w:jc w:val="both"/>
        <w:rPr>
          <w:sz w:val="22"/>
        </w:rPr>
      </w:pPr>
    </w:p>
    <w:p w14:paraId="16FFEC67" w14:textId="77777777" w:rsidR="00215C0D" w:rsidRPr="00215C0D" w:rsidRDefault="00215C0D" w:rsidP="00215C0D">
      <w:pPr>
        <w:ind w:left="720"/>
        <w:jc w:val="both"/>
        <w:rPr>
          <w:sz w:val="22"/>
        </w:rPr>
      </w:pPr>
      <w:r w:rsidRPr="00215C0D">
        <w:rPr>
          <w:sz w:val="22"/>
        </w:rPr>
        <w:t xml:space="preserve">Volume 2 is the technical proposal. Additional documents may be submitted to support Volume 2 in accordance with the instructions for Supporting Documents Volume (Volume 5) as detailed below. </w:t>
      </w:r>
    </w:p>
    <w:p w14:paraId="731CF4C5" w14:textId="77777777" w:rsidR="00215C0D" w:rsidRPr="00215C0D" w:rsidRDefault="00215C0D" w:rsidP="00215C0D">
      <w:pPr>
        <w:ind w:left="720"/>
        <w:jc w:val="both"/>
        <w:rPr>
          <w:sz w:val="22"/>
        </w:rPr>
      </w:pPr>
    </w:p>
    <w:p w14:paraId="38E7231A" w14:textId="77777777" w:rsidR="00215C0D" w:rsidRPr="009D1223" w:rsidRDefault="009D1223" w:rsidP="00215C0D">
      <w:pPr>
        <w:spacing w:after="60"/>
        <w:jc w:val="both"/>
        <w:outlineLvl w:val="0"/>
        <w:rPr>
          <w:sz w:val="22"/>
        </w:rPr>
      </w:pPr>
      <w:r>
        <w:rPr>
          <w:b/>
          <w:sz w:val="22"/>
        </w:rPr>
        <w:tab/>
      </w:r>
      <w:r w:rsidRPr="009D1223">
        <w:rPr>
          <w:sz w:val="22"/>
        </w:rPr>
        <w:t>The Technical Volume (Volume 2) should include the following sections:</w:t>
      </w:r>
    </w:p>
    <w:p w14:paraId="163A67E7" w14:textId="77777777" w:rsidR="009D1223" w:rsidRDefault="009D1223" w:rsidP="009D1223">
      <w:pPr>
        <w:numPr>
          <w:ilvl w:val="1"/>
          <w:numId w:val="1"/>
        </w:numPr>
        <w:ind w:left="1080"/>
        <w:contextualSpacing/>
        <w:jc w:val="both"/>
        <w:rPr>
          <w:rFonts w:eastAsia="Times New Roman" w:cs="Times New Roman"/>
          <w:sz w:val="22"/>
        </w:rPr>
      </w:pPr>
      <w:r>
        <w:rPr>
          <w:rFonts w:eastAsia="Times New Roman" w:cs="Times New Roman"/>
          <w:sz w:val="22"/>
        </w:rPr>
        <w:t>Phase I Proof of Feasibility (NTE 35 pages)</w:t>
      </w:r>
    </w:p>
    <w:p w14:paraId="59B0B905" w14:textId="77777777" w:rsidR="009D1223" w:rsidRDefault="009D1223" w:rsidP="004D2142">
      <w:pPr>
        <w:numPr>
          <w:ilvl w:val="0"/>
          <w:numId w:val="26"/>
        </w:numPr>
        <w:contextualSpacing/>
        <w:jc w:val="both"/>
        <w:rPr>
          <w:rFonts w:eastAsia="Times New Roman" w:cs="Times New Roman"/>
          <w:sz w:val="22"/>
        </w:rPr>
      </w:pPr>
      <w:r>
        <w:rPr>
          <w:rFonts w:eastAsia="Times New Roman" w:cs="Times New Roman"/>
          <w:sz w:val="22"/>
        </w:rPr>
        <w:t>Introductory Statement</w:t>
      </w:r>
    </w:p>
    <w:p w14:paraId="6BB6E62E" w14:textId="77777777" w:rsidR="009D1223" w:rsidRDefault="009D1223" w:rsidP="004D2142">
      <w:pPr>
        <w:numPr>
          <w:ilvl w:val="0"/>
          <w:numId w:val="26"/>
        </w:numPr>
        <w:contextualSpacing/>
        <w:jc w:val="both"/>
        <w:rPr>
          <w:rFonts w:eastAsia="Times New Roman" w:cs="Times New Roman"/>
          <w:sz w:val="22"/>
        </w:rPr>
      </w:pPr>
      <w:r>
        <w:rPr>
          <w:rFonts w:eastAsia="Times New Roman" w:cs="Times New Roman"/>
          <w:sz w:val="22"/>
        </w:rPr>
        <w:t xml:space="preserve">Phase I Proof of Feasibility </w:t>
      </w:r>
    </w:p>
    <w:p w14:paraId="62A96C18" w14:textId="77777777" w:rsidR="009D1223" w:rsidRDefault="009D1223" w:rsidP="004D2142">
      <w:pPr>
        <w:numPr>
          <w:ilvl w:val="0"/>
          <w:numId w:val="26"/>
        </w:numPr>
        <w:contextualSpacing/>
        <w:jc w:val="both"/>
        <w:rPr>
          <w:rFonts w:eastAsia="Times New Roman" w:cs="Times New Roman"/>
          <w:sz w:val="22"/>
        </w:rPr>
      </w:pPr>
      <w:r>
        <w:rPr>
          <w:rFonts w:eastAsia="Times New Roman" w:cs="Times New Roman"/>
          <w:sz w:val="22"/>
        </w:rPr>
        <w:t>Assertions</w:t>
      </w:r>
    </w:p>
    <w:p w14:paraId="18A4B873" w14:textId="6AA8E20E" w:rsidR="009D1223" w:rsidRDefault="009D1223" w:rsidP="004D2142">
      <w:pPr>
        <w:numPr>
          <w:ilvl w:val="0"/>
          <w:numId w:val="26"/>
        </w:numPr>
        <w:contextualSpacing/>
        <w:jc w:val="both"/>
        <w:rPr>
          <w:rFonts w:eastAsia="Times New Roman" w:cs="Times New Roman"/>
          <w:sz w:val="22"/>
        </w:rPr>
      </w:pPr>
      <w:r>
        <w:rPr>
          <w:rFonts w:eastAsia="Times New Roman" w:cs="Times New Roman"/>
          <w:sz w:val="22"/>
        </w:rPr>
        <w:t>Commercialization Potential/Transition Plan Summary</w:t>
      </w:r>
    </w:p>
    <w:p w14:paraId="6BF521FB" w14:textId="77777777" w:rsidR="001B02A7" w:rsidRPr="00215C0D" w:rsidRDefault="001B02A7" w:rsidP="001B02A7">
      <w:pPr>
        <w:ind w:left="1440"/>
        <w:contextualSpacing/>
        <w:jc w:val="both"/>
        <w:rPr>
          <w:rFonts w:eastAsia="Times New Roman" w:cs="Times New Roman"/>
          <w:sz w:val="22"/>
        </w:rPr>
      </w:pPr>
    </w:p>
    <w:p w14:paraId="0244E48E" w14:textId="77777777" w:rsidR="009D1223" w:rsidRPr="009D1223" w:rsidRDefault="009D1223" w:rsidP="009D1223">
      <w:pPr>
        <w:numPr>
          <w:ilvl w:val="1"/>
          <w:numId w:val="1"/>
        </w:numPr>
        <w:ind w:left="1080"/>
        <w:contextualSpacing/>
        <w:jc w:val="both"/>
        <w:rPr>
          <w:rFonts w:eastAsia="Times New Roman" w:cs="Times New Roman"/>
          <w:szCs w:val="24"/>
        </w:rPr>
      </w:pPr>
      <w:r>
        <w:rPr>
          <w:rFonts w:eastAsia="Times New Roman" w:cs="Times New Roman"/>
          <w:sz w:val="22"/>
        </w:rPr>
        <w:t>Snapshot of Proposed Phase II Effort (NTE 15 pages)</w:t>
      </w:r>
    </w:p>
    <w:p w14:paraId="2800C7B8" w14:textId="77777777" w:rsidR="009D1223" w:rsidRPr="004D2142" w:rsidRDefault="009D1223" w:rsidP="004D2142">
      <w:pPr>
        <w:numPr>
          <w:ilvl w:val="0"/>
          <w:numId w:val="27"/>
        </w:numPr>
        <w:contextualSpacing/>
        <w:jc w:val="both"/>
        <w:rPr>
          <w:rFonts w:eastAsia="Times New Roman" w:cs="Times New Roman"/>
          <w:sz w:val="22"/>
          <w:szCs w:val="24"/>
        </w:rPr>
      </w:pPr>
      <w:r w:rsidRPr="004D2142">
        <w:rPr>
          <w:rFonts w:eastAsia="Times New Roman" w:cs="Times New Roman"/>
          <w:sz w:val="22"/>
          <w:szCs w:val="24"/>
        </w:rPr>
        <w:t>Description of Proposed DP2 Technical Effort and Objectives</w:t>
      </w:r>
    </w:p>
    <w:p w14:paraId="40FAB729" w14:textId="77777777" w:rsidR="009D1223" w:rsidRPr="004D2142" w:rsidRDefault="009D1223" w:rsidP="004D2142">
      <w:pPr>
        <w:numPr>
          <w:ilvl w:val="0"/>
          <w:numId w:val="27"/>
        </w:numPr>
        <w:contextualSpacing/>
        <w:jc w:val="both"/>
        <w:rPr>
          <w:rFonts w:eastAsia="Times New Roman" w:cs="Times New Roman"/>
          <w:sz w:val="22"/>
          <w:szCs w:val="24"/>
        </w:rPr>
      </w:pPr>
      <w:r w:rsidRPr="004D2142">
        <w:rPr>
          <w:rFonts w:eastAsia="Times New Roman" w:cs="Times New Roman"/>
          <w:sz w:val="22"/>
          <w:szCs w:val="24"/>
        </w:rPr>
        <w:t>DP2 Work Plan</w:t>
      </w:r>
    </w:p>
    <w:p w14:paraId="6D517E27" w14:textId="41DEC17E" w:rsidR="009D1223" w:rsidRPr="004D2142" w:rsidRDefault="009D1223" w:rsidP="004D2142">
      <w:pPr>
        <w:numPr>
          <w:ilvl w:val="0"/>
          <w:numId w:val="27"/>
        </w:numPr>
        <w:contextualSpacing/>
        <w:jc w:val="both"/>
        <w:rPr>
          <w:rFonts w:eastAsia="Times New Roman" w:cs="Times New Roman"/>
          <w:sz w:val="22"/>
          <w:szCs w:val="24"/>
        </w:rPr>
      </w:pPr>
      <w:r w:rsidRPr="004D2142">
        <w:rPr>
          <w:rFonts w:eastAsia="Times New Roman" w:cs="Times New Roman"/>
          <w:sz w:val="22"/>
          <w:szCs w:val="24"/>
        </w:rPr>
        <w:t xml:space="preserve">Key Personnel </w:t>
      </w:r>
      <w:r w:rsidR="00767B8A" w:rsidRPr="004D2142">
        <w:rPr>
          <w:rFonts w:eastAsia="Times New Roman" w:cs="Times New Roman"/>
          <w:sz w:val="22"/>
          <w:szCs w:val="24"/>
        </w:rPr>
        <w:t>Resume</w:t>
      </w:r>
      <w:r w:rsidR="00FE5649">
        <w:rPr>
          <w:rFonts w:eastAsia="Times New Roman" w:cs="Times New Roman"/>
          <w:sz w:val="22"/>
          <w:szCs w:val="24"/>
        </w:rPr>
        <w:t>s</w:t>
      </w:r>
      <w:r w:rsidR="00767B8A" w:rsidRPr="004D2142">
        <w:rPr>
          <w:rFonts w:eastAsia="Times New Roman" w:cs="Times New Roman"/>
          <w:sz w:val="22"/>
          <w:szCs w:val="24"/>
        </w:rPr>
        <w:t xml:space="preserve"> – should be submitted for the Principal Investigator and up to 4 additional individuals. Resumes are limited to one page per person, and should be limited to only information relevant to the work to be performed under the project</w:t>
      </w:r>
    </w:p>
    <w:p w14:paraId="6A618B56" w14:textId="77777777" w:rsidR="009D1223" w:rsidRPr="004D2142" w:rsidRDefault="009D1223" w:rsidP="004D2142">
      <w:pPr>
        <w:numPr>
          <w:ilvl w:val="0"/>
          <w:numId w:val="27"/>
        </w:numPr>
        <w:contextualSpacing/>
        <w:jc w:val="both"/>
        <w:rPr>
          <w:rFonts w:eastAsia="Times New Roman" w:cs="Times New Roman"/>
          <w:sz w:val="22"/>
          <w:szCs w:val="24"/>
        </w:rPr>
      </w:pPr>
      <w:r w:rsidRPr="004D2142">
        <w:rPr>
          <w:rFonts w:eastAsia="Times New Roman" w:cs="Times New Roman"/>
          <w:sz w:val="22"/>
          <w:szCs w:val="24"/>
        </w:rPr>
        <w:t xml:space="preserve">Subcontractors/Consultants </w:t>
      </w:r>
    </w:p>
    <w:p w14:paraId="3B2B551C" w14:textId="136FD999" w:rsidR="009D1223" w:rsidRDefault="009D1223" w:rsidP="004D2142">
      <w:pPr>
        <w:numPr>
          <w:ilvl w:val="0"/>
          <w:numId w:val="27"/>
        </w:numPr>
        <w:contextualSpacing/>
        <w:jc w:val="both"/>
        <w:rPr>
          <w:rFonts w:eastAsia="Times New Roman" w:cs="Times New Roman"/>
          <w:sz w:val="22"/>
          <w:szCs w:val="24"/>
        </w:rPr>
      </w:pPr>
      <w:r w:rsidRPr="004D2142">
        <w:rPr>
          <w:rFonts w:eastAsia="Times New Roman" w:cs="Times New Roman"/>
          <w:sz w:val="22"/>
          <w:szCs w:val="24"/>
        </w:rPr>
        <w:t>Order of Magnitude Cost Estimate</w:t>
      </w:r>
      <w:r w:rsidR="00593AF0" w:rsidRPr="004D2142">
        <w:rPr>
          <w:rFonts w:eastAsia="Times New Roman" w:cs="Times New Roman"/>
          <w:sz w:val="22"/>
          <w:szCs w:val="24"/>
        </w:rPr>
        <w:t xml:space="preserve"> Table</w:t>
      </w:r>
      <w:r w:rsidR="000A3092">
        <w:rPr>
          <w:rFonts w:eastAsia="Times New Roman" w:cs="Times New Roman"/>
          <w:sz w:val="22"/>
          <w:szCs w:val="24"/>
        </w:rPr>
        <w:t xml:space="preserve"> </w:t>
      </w:r>
      <w:r w:rsidR="00710977">
        <w:rPr>
          <w:rFonts w:eastAsia="Times New Roman" w:cs="Times New Roman"/>
          <w:sz w:val="22"/>
          <w:szCs w:val="24"/>
        </w:rPr>
        <w:t xml:space="preserve">(example provided below in the Cost Volume (Volume 3) section). </w:t>
      </w:r>
    </w:p>
    <w:p w14:paraId="1D5DA2C0" w14:textId="77777777" w:rsidR="00386941" w:rsidRDefault="00386941" w:rsidP="00386941">
      <w:pPr>
        <w:contextualSpacing/>
        <w:jc w:val="both"/>
        <w:rPr>
          <w:rFonts w:eastAsia="Times New Roman" w:cs="Times New Roman"/>
          <w:sz w:val="22"/>
          <w:szCs w:val="24"/>
        </w:rPr>
      </w:pPr>
    </w:p>
    <w:p w14:paraId="2C394FEE" w14:textId="1C71B35A" w:rsidR="00386941" w:rsidRPr="00386941" w:rsidRDefault="004C6B2E" w:rsidP="00386941">
      <w:pPr>
        <w:ind w:left="720"/>
        <w:contextualSpacing/>
        <w:jc w:val="both"/>
        <w:rPr>
          <w:sz w:val="22"/>
        </w:rPr>
      </w:pPr>
      <w:r>
        <w:rPr>
          <w:sz w:val="22"/>
        </w:rPr>
        <w:t xml:space="preserve">It is recommended that proposers follow the DP2 Phase I Feasibility Template as a guide for structuring the DP2 Phase I Feasibility proposal. The template is located on </w:t>
      </w:r>
      <w:hyperlink r:id="rId17" w:history="1">
        <w:r w:rsidR="00386941" w:rsidRPr="00CD7473">
          <w:rPr>
            <w:rStyle w:val="Hyperlink"/>
            <w:rFonts w:eastAsia="Times New Roman" w:cs="Times New Roman"/>
          </w:rPr>
          <w:t>https://www.navysbir.com/links_forms.htm</w:t>
        </w:r>
      </w:hyperlink>
      <w:r w:rsidR="00386941" w:rsidRPr="00CD7473">
        <w:rPr>
          <w:rStyle w:val="Hyperlink"/>
          <w:rFonts w:eastAsia="Times New Roman" w:cs="Times New Roman"/>
        </w:rPr>
        <w:t>.</w:t>
      </w:r>
      <w:r w:rsidR="00CD7473">
        <w:rPr>
          <w:sz w:val="22"/>
        </w:rPr>
        <w:t xml:space="preserve">  </w:t>
      </w:r>
      <w:r w:rsidR="00386941" w:rsidRPr="00386941">
        <w:rPr>
          <w:sz w:val="22"/>
        </w:rPr>
        <w:t xml:space="preserve"> </w:t>
      </w:r>
      <w:r w:rsidR="00386941">
        <w:rPr>
          <w:sz w:val="22"/>
        </w:rPr>
        <w:t xml:space="preserve"> </w:t>
      </w:r>
    </w:p>
    <w:p w14:paraId="086CD81C" w14:textId="1CFA2511" w:rsidR="009D1223" w:rsidRDefault="009D1223" w:rsidP="00215C0D">
      <w:pPr>
        <w:spacing w:after="60"/>
        <w:jc w:val="both"/>
        <w:outlineLvl w:val="0"/>
        <w:rPr>
          <w:b/>
          <w:sz w:val="22"/>
        </w:rPr>
      </w:pPr>
    </w:p>
    <w:p w14:paraId="32C41B9A" w14:textId="77777777" w:rsidR="00AB635D" w:rsidRPr="00D71516" w:rsidRDefault="00AB635D" w:rsidP="00AB635D">
      <w:pPr>
        <w:ind w:left="720"/>
        <w:jc w:val="both"/>
        <w:rPr>
          <w:b/>
          <w:sz w:val="22"/>
        </w:rPr>
      </w:pPr>
      <w:r w:rsidRPr="00D71516">
        <w:rPr>
          <w:b/>
          <w:sz w:val="22"/>
        </w:rPr>
        <w:t>Disclosure of Information (DFARS 252.204-7000)</w:t>
      </w:r>
    </w:p>
    <w:p w14:paraId="2863A1BD" w14:textId="77777777" w:rsidR="00AB635D" w:rsidRDefault="00AB635D" w:rsidP="00AB635D">
      <w:pPr>
        <w:ind w:left="720"/>
        <w:jc w:val="both"/>
        <w:rPr>
          <w:color w:val="1F497D"/>
        </w:rPr>
      </w:pPr>
      <w:r w:rsidRPr="00D71516">
        <w:rPr>
          <w:sz w:val="22"/>
        </w:rPr>
        <w:t xml:space="preserve">In order to eliminate the requirements for prior approval of public disclosure of information (in accordance with DFARS 252.204-7000) </w:t>
      </w:r>
      <w:r w:rsidRPr="00DE5206">
        <w:rPr>
          <w:sz w:val="22"/>
        </w:rPr>
        <w:t xml:space="preserve">under this or any subsequent award, the proposer shall identify and describe all fundamental research to be performed under its proposal, including subcontracted work, with sufficient specificity to demonstrate that the work qualifies as </w:t>
      </w:r>
      <w:r w:rsidRPr="00DE5206">
        <w:rPr>
          <w:sz w:val="22"/>
        </w:rPr>
        <w:lastRenderedPageBreak/>
        <w:t>fundamental research. Fundamental research means basic and applied research in science and engineering, the results of which ordinarily are published and shared broadly within the</w:t>
      </w:r>
      <w:r>
        <w:rPr>
          <w:sz w:val="22"/>
        </w:rPr>
        <w:t xml:space="preserve"> </w:t>
      </w:r>
      <w:r w:rsidRPr="00DE5206">
        <w:rPr>
          <w:sz w:val="22"/>
        </w:rPr>
        <w:t>scientific</w:t>
      </w:r>
      <w:r>
        <w:rPr>
          <w:sz w:val="22"/>
        </w:rPr>
        <w:t xml:space="preserve"> </w:t>
      </w:r>
      <w:r w:rsidRPr="00DE5206">
        <w:rPr>
          <w:sz w:val="22"/>
        </w:rPr>
        <w:t>community, as distinguished from proprietary research and from industrial development, design, production, and product utilization, the results of which ordinarily are restricted for proprietary or national security reasons.  Simply identify</w:t>
      </w:r>
      <w:r>
        <w:rPr>
          <w:sz w:val="22"/>
        </w:rPr>
        <w:t>ing</w:t>
      </w:r>
      <w:r w:rsidRPr="00DE5206">
        <w:rPr>
          <w:sz w:val="22"/>
        </w:rPr>
        <w:t xml:space="preserve"> </w:t>
      </w:r>
      <w:r>
        <w:rPr>
          <w:sz w:val="22"/>
        </w:rPr>
        <w:t xml:space="preserve">fundamental research in </w:t>
      </w:r>
      <w:r w:rsidRPr="00DE5206">
        <w:rPr>
          <w:sz w:val="22"/>
        </w:rPr>
        <w:t>the</w:t>
      </w:r>
      <w:r>
        <w:rPr>
          <w:sz w:val="22"/>
        </w:rPr>
        <w:t xml:space="preserve"> </w:t>
      </w:r>
      <w:r w:rsidRPr="00DE5206">
        <w:rPr>
          <w:sz w:val="22"/>
        </w:rPr>
        <w:t>proposal does NOT constitu</w:t>
      </w:r>
      <w:r>
        <w:rPr>
          <w:sz w:val="22"/>
        </w:rPr>
        <w:t>t</w:t>
      </w:r>
      <w:r w:rsidRPr="00DE5206">
        <w:rPr>
          <w:sz w:val="22"/>
        </w:rPr>
        <w:t>e acceptance of the exclusion</w:t>
      </w:r>
      <w:r>
        <w:rPr>
          <w:sz w:val="22"/>
        </w:rPr>
        <w:t xml:space="preserve">.  </w:t>
      </w:r>
      <w:r w:rsidRPr="00DE5206">
        <w:rPr>
          <w:sz w:val="22"/>
        </w:rPr>
        <w:t>All exclusions will be reviewed and noted in the award.</w:t>
      </w:r>
      <w:r>
        <w:rPr>
          <w:sz w:val="22"/>
        </w:rPr>
        <w:t xml:space="preserve">  NOTE:  Fundamental research included in the technical proposal that the proposer is requesting be eliminated from the requirements for prior approval of public disclosure of information, must be uploaded in a separate document (under “Other”) in the Supporting Documents Volume (Volume 5).</w:t>
      </w:r>
    </w:p>
    <w:p w14:paraId="6A4CC035" w14:textId="77777777" w:rsidR="0014557F" w:rsidRPr="00DE5206" w:rsidRDefault="0014557F" w:rsidP="0014557F">
      <w:pPr>
        <w:ind w:left="720"/>
        <w:jc w:val="both"/>
        <w:rPr>
          <w:sz w:val="22"/>
        </w:rPr>
      </w:pPr>
    </w:p>
    <w:p w14:paraId="13D573BD" w14:textId="2EA2EE5B" w:rsidR="000B7AEF" w:rsidRPr="00EF34DF" w:rsidRDefault="00215C0D" w:rsidP="002E68C6">
      <w:pPr>
        <w:numPr>
          <w:ilvl w:val="0"/>
          <w:numId w:val="3"/>
        </w:numPr>
        <w:ind w:left="720"/>
        <w:contextualSpacing/>
        <w:rPr>
          <w:rFonts w:eastAsia="Times New Roman" w:cs="Times New Roman"/>
          <w:sz w:val="22"/>
        </w:rPr>
      </w:pPr>
      <w:r w:rsidRPr="00EF34DF">
        <w:rPr>
          <w:rFonts w:eastAsia="Times New Roman" w:cs="Times New Roman"/>
          <w:b/>
          <w:sz w:val="22"/>
        </w:rPr>
        <w:t xml:space="preserve">Cost Volume (Volume 3). </w:t>
      </w:r>
      <w:r w:rsidR="00710977" w:rsidRPr="00EF34DF">
        <w:rPr>
          <w:rFonts w:eastAsia="Times New Roman" w:cs="Times New Roman"/>
          <w:sz w:val="22"/>
        </w:rPr>
        <w:t xml:space="preserve">The text fields related to costs </w:t>
      </w:r>
      <w:r w:rsidR="00593AF0" w:rsidRPr="00EF34DF">
        <w:rPr>
          <w:rFonts w:eastAsia="Times New Roman" w:cs="Times New Roman"/>
          <w:sz w:val="22"/>
        </w:rPr>
        <w:t xml:space="preserve">for the proposed effort must be answered in the Cost Volume of the DoD Submission system (at </w:t>
      </w:r>
      <w:hyperlink r:id="rId18" w:history="1">
        <w:r w:rsidR="00871BEE" w:rsidRPr="00EF34DF">
          <w:rPr>
            <w:rStyle w:val="Hyperlink"/>
            <w:rFonts w:eastAsia="Times New Roman"/>
          </w:rPr>
          <w:t>https://www.dodsbirsttr.mil/submissions/</w:t>
        </w:r>
      </w:hyperlink>
      <w:r w:rsidR="00593AF0" w:rsidRPr="00EF34DF">
        <w:rPr>
          <w:rFonts w:eastAsia="Times New Roman" w:cs="Times New Roman"/>
          <w:sz w:val="22"/>
        </w:rPr>
        <w:t xml:space="preserve">), however, </w:t>
      </w:r>
      <w:r w:rsidR="00710977" w:rsidRPr="00EF34DF">
        <w:rPr>
          <w:rFonts w:eastAsia="Times New Roman" w:cs="Times New Roman"/>
          <w:sz w:val="22"/>
        </w:rPr>
        <w:t>proposers DO NOT need to download</w:t>
      </w:r>
      <w:r w:rsidR="00114734" w:rsidRPr="00EF34DF">
        <w:rPr>
          <w:rFonts w:eastAsia="Times New Roman" w:cs="Times New Roman"/>
          <w:sz w:val="22"/>
        </w:rPr>
        <w:t xml:space="preserve"> and complete </w:t>
      </w:r>
      <w:r w:rsidR="00710977" w:rsidRPr="00EF34DF">
        <w:rPr>
          <w:rFonts w:eastAsia="Times New Roman" w:cs="Times New Roman"/>
          <w:sz w:val="22"/>
        </w:rPr>
        <w:t xml:space="preserve">the </w:t>
      </w:r>
      <w:r w:rsidR="000B7AEF" w:rsidRPr="00EF34DF">
        <w:rPr>
          <w:rFonts w:eastAsia="Times New Roman" w:cs="Times New Roman"/>
          <w:sz w:val="22"/>
        </w:rPr>
        <w:t xml:space="preserve">separate cost volume </w:t>
      </w:r>
      <w:r w:rsidR="00710977" w:rsidRPr="00EF34DF">
        <w:rPr>
          <w:rFonts w:eastAsia="Times New Roman" w:cs="Times New Roman"/>
          <w:sz w:val="22"/>
        </w:rPr>
        <w:t xml:space="preserve">template </w:t>
      </w:r>
      <w:r w:rsidR="000B7AEF" w:rsidRPr="00EF34DF">
        <w:rPr>
          <w:rFonts w:eastAsia="Times New Roman" w:cs="Times New Roman"/>
          <w:sz w:val="22"/>
        </w:rPr>
        <w:t xml:space="preserve">for the DON SBIR Phase I Feasibility Proposal. </w:t>
      </w:r>
      <w:r w:rsidR="00710977" w:rsidRPr="00EF34DF">
        <w:rPr>
          <w:rFonts w:eastAsia="Times New Roman" w:cs="Times New Roman"/>
          <w:sz w:val="22"/>
        </w:rPr>
        <w:t xml:space="preserve">Proposers are to include </w:t>
      </w:r>
      <w:r w:rsidR="000B7AEF" w:rsidRPr="00EF34DF">
        <w:rPr>
          <w:rFonts w:eastAsia="Times New Roman" w:cs="Times New Roman"/>
          <w:sz w:val="22"/>
        </w:rPr>
        <w:t xml:space="preserve">a cost estimate in the Order of Magnitude Cost Estimate Table </w:t>
      </w:r>
      <w:r w:rsidR="00710977" w:rsidRPr="00EF34DF">
        <w:rPr>
          <w:rFonts w:eastAsia="Times New Roman" w:cs="Times New Roman"/>
          <w:sz w:val="22"/>
        </w:rPr>
        <w:t xml:space="preserve">(example below) </w:t>
      </w:r>
      <w:r w:rsidR="00114734" w:rsidRPr="00EF34DF">
        <w:rPr>
          <w:rFonts w:eastAsia="Times New Roman" w:cs="Times New Roman"/>
          <w:sz w:val="22"/>
        </w:rPr>
        <w:t>with</w:t>
      </w:r>
      <w:r w:rsidR="000B7AEF" w:rsidRPr="00EF34DF">
        <w:rPr>
          <w:rFonts w:eastAsia="Times New Roman" w:cs="Times New Roman"/>
          <w:sz w:val="22"/>
        </w:rPr>
        <w:t xml:space="preserve">in the Technical Volume (Volume 2). Please refer to </w:t>
      </w:r>
      <w:r w:rsidR="00114734" w:rsidRPr="00EF34DF">
        <w:rPr>
          <w:rFonts w:eastAsia="Times New Roman" w:cs="Times New Roman"/>
          <w:sz w:val="22"/>
        </w:rPr>
        <w:t xml:space="preserve">Table 2 </w:t>
      </w:r>
      <w:r w:rsidR="000B7AEF" w:rsidRPr="00EF34DF">
        <w:rPr>
          <w:rFonts w:eastAsia="Times New Roman" w:cs="Times New Roman"/>
          <w:sz w:val="22"/>
        </w:rPr>
        <w:t>below for guidance</w:t>
      </w:r>
      <w:r w:rsidR="00114734" w:rsidRPr="00EF34DF">
        <w:rPr>
          <w:rFonts w:eastAsia="Times New Roman" w:cs="Times New Roman"/>
          <w:sz w:val="22"/>
        </w:rPr>
        <w:t xml:space="preserve"> on cost and period of performance</w:t>
      </w:r>
      <w:r w:rsidR="000B7AEF" w:rsidRPr="00EF34DF">
        <w:rPr>
          <w:rFonts w:eastAsia="Times New Roman" w:cs="Times New Roman"/>
          <w:sz w:val="22"/>
        </w:rPr>
        <w:t>. Costs for the Base and Option are to be separate and identified on the Proposal Cover Sheet and in the Order of Magnitude Cost Estimate Table in the Technical Volume (Volume 2).</w:t>
      </w:r>
    </w:p>
    <w:p w14:paraId="06FF4210" w14:textId="77777777" w:rsidR="00FC3249" w:rsidRDefault="00FC3249" w:rsidP="00FC3249">
      <w:pPr>
        <w:ind w:left="720"/>
        <w:contextualSpacing/>
        <w:jc w:val="both"/>
        <w:rPr>
          <w:rFonts w:eastAsia="Times New Roman" w:cs="Times New Roman"/>
          <w:sz w:val="22"/>
        </w:rPr>
      </w:pPr>
    </w:p>
    <w:p w14:paraId="641038C8" w14:textId="77777777" w:rsidR="00114734" w:rsidRDefault="00114734" w:rsidP="00114734">
      <w:pPr>
        <w:contextualSpacing/>
        <w:jc w:val="both"/>
        <w:rPr>
          <w:rFonts w:eastAsia="Times New Roman" w:cs="Times New Roman"/>
          <w:sz w:val="22"/>
        </w:rPr>
      </w:pPr>
    </w:p>
    <w:tbl>
      <w:tblPr>
        <w:tblStyle w:val="TableGrid11"/>
        <w:tblW w:w="0" w:type="auto"/>
        <w:tblInd w:w="527" w:type="dxa"/>
        <w:tblLook w:val="04A0" w:firstRow="1" w:lastRow="0" w:firstColumn="1" w:lastColumn="0" w:noHBand="0" w:noVBand="1"/>
      </w:tblPr>
      <w:tblGrid>
        <w:gridCol w:w="2856"/>
        <w:gridCol w:w="1721"/>
        <w:gridCol w:w="1842"/>
        <w:gridCol w:w="1870"/>
      </w:tblGrid>
      <w:tr w:rsidR="00114734" w:rsidRPr="00114734" w14:paraId="077810B5" w14:textId="77777777" w:rsidTr="00FC3249">
        <w:trPr>
          <w:trHeight w:val="248"/>
        </w:trPr>
        <w:tc>
          <w:tcPr>
            <w:tcW w:w="8289" w:type="dxa"/>
            <w:gridSpan w:val="4"/>
            <w:shd w:val="clear" w:color="auto" w:fill="C6D9F1"/>
            <w:vAlign w:val="center"/>
          </w:tcPr>
          <w:p w14:paraId="4AC87688" w14:textId="0DC0DC49" w:rsidR="00114734" w:rsidRPr="00114734" w:rsidRDefault="00FC3249" w:rsidP="00114734">
            <w:pPr>
              <w:autoSpaceDE w:val="0"/>
              <w:autoSpaceDN w:val="0"/>
              <w:adjustRightInd w:val="0"/>
              <w:jc w:val="center"/>
              <w:rPr>
                <w:b/>
                <w:color w:val="000000"/>
                <w:sz w:val="22"/>
                <w:szCs w:val="24"/>
              </w:rPr>
            </w:pPr>
            <w:r>
              <w:rPr>
                <w:rFonts w:eastAsia="Times New Roman"/>
                <w:b/>
                <w:szCs w:val="24"/>
              </w:rPr>
              <w:t xml:space="preserve">Order of Magnitude </w:t>
            </w:r>
            <w:r w:rsidR="00114734" w:rsidRPr="00114734">
              <w:rPr>
                <w:rFonts w:eastAsia="Times New Roman"/>
                <w:b/>
                <w:szCs w:val="24"/>
              </w:rPr>
              <w:t>Cost Estimate</w:t>
            </w:r>
            <w:r>
              <w:rPr>
                <w:rFonts w:eastAsia="Times New Roman"/>
                <w:b/>
                <w:szCs w:val="24"/>
              </w:rPr>
              <w:t xml:space="preserve"> Table</w:t>
            </w:r>
          </w:p>
        </w:tc>
      </w:tr>
      <w:tr w:rsidR="00114734" w:rsidRPr="00114734" w14:paraId="0468783F" w14:textId="77777777" w:rsidTr="00FC3249">
        <w:trPr>
          <w:trHeight w:val="689"/>
        </w:trPr>
        <w:tc>
          <w:tcPr>
            <w:tcW w:w="2856" w:type="dxa"/>
            <w:shd w:val="clear" w:color="auto" w:fill="D9D9D9"/>
            <w:vAlign w:val="center"/>
          </w:tcPr>
          <w:p w14:paraId="2425A64E" w14:textId="77777777" w:rsidR="00114734" w:rsidRPr="00114734" w:rsidRDefault="00114734" w:rsidP="00114734">
            <w:pPr>
              <w:autoSpaceDE w:val="0"/>
              <w:autoSpaceDN w:val="0"/>
              <w:adjustRightInd w:val="0"/>
              <w:jc w:val="center"/>
              <w:rPr>
                <w:b/>
                <w:color w:val="000000"/>
                <w:sz w:val="22"/>
                <w:szCs w:val="24"/>
              </w:rPr>
            </w:pPr>
            <w:r w:rsidRPr="00114734">
              <w:rPr>
                <w:b/>
                <w:color w:val="000000"/>
                <w:sz w:val="22"/>
                <w:szCs w:val="24"/>
              </w:rPr>
              <w:t>Line Item - Details</w:t>
            </w:r>
          </w:p>
        </w:tc>
        <w:tc>
          <w:tcPr>
            <w:tcW w:w="1721" w:type="dxa"/>
            <w:shd w:val="clear" w:color="auto" w:fill="D9D9D9"/>
            <w:vAlign w:val="center"/>
          </w:tcPr>
          <w:p w14:paraId="5369BACD" w14:textId="77777777" w:rsidR="00114734" w:rsidRPr="00114734" w:rsidRDefault="00114734" w:rsidP="00114734">
            <w:pPr>
              <w:autoSpaceDE w:val="0"/>
              <w:autoSpaceDN w:val="0"/>
              <w:adjustRightInd w:val="0"/>
              <w:jc w:val="center"/>
              <w:rPr>
                <w:b/>
                <w:color w:val="000000"/>
                <w:sz w:val="22"/>
                <w:szCs w:val="24"/>
              </w:rPr>
            </w:pPr>
            <w:r w:rsidRPr="00114734">
              <w:rPr>
                <w:b/>
                <w:color w:val="000000"/>
                <w:sz w:val="22"/>
                <w:szCs w:val="24"/>
              </w:rPr>
              <w:t xml:space="preserve">Estimated Base Amount </w:t>
            </w:r>
          </w:p>
          <w:p w14:paraId="1A303AB8" w14:textId="77777777" w:rsidR="00114734" w:rsidRPr="00114734" w:rsidRDefault="00114734" w:rsidP="00114734">
            <w:pPr>
              <w:autoSpaceDE w:val="0"/>
              <w:autoSpaceDN w:val="0"/>
              <w:adjustRightInd w:val="0"/>
              <w:jc w:val="center"/>
              <w:rPr>
                <w:b/>
                <w:i/>
                <w:color w:val="000000"/>
                <w:sz w:val="22"/>
                <w:szCs w:val="24"/>
              </w:rPr>
            </w:pPr>
          </w:p>
        </w:tc>
        <w:tc>
          <w:tcPr>
            <w:tcW w:w="1842" w:type="dxa"/>
            <w:shd w:val="clear" w:color="auto" w:fill="D9D9D9"/>
            <w:vAlign w:val="center"/>
          </w:tcPr>
          <w:p w14:paraId="47495C11" w14:textId="77777777" w:rsidR="00114734" w:rsidRPr="00114734" w:rsidRDefault="00114734" w:rsidP="00114734">
            <w:pPr>
              <w:autoSpaceDE w:val="0"/>
              <w:autoSpaceDN w:val="0"/>
              <w:adjustRightInd w:val="0"/>
              <w:jc w:val="center"/>
              <w:rPr>
                <w:b/>
                <w:color w:val="000000"/>
                <w:sz w:val="22"/>
                <w:szCs w:val="24"/>
              </w:rPr>
            </w:pPr>
            <w:r w:rsidRPr="00114734">
              <w:rPr>
                <w:b/>
                <w:color w:val="000000"/>
                <w:sz w:val="22"/>
                <w:szCs w:val="24"/>
              </w:rPr>
              <w:t>Estimated Option Amount</w:t>
            </w:r>
          </w:p>
          <w:p w14:paraId="645DCCFE" w14:textId="77777777" w:rsidR="00114734" w:rsidRPr="00114734" w:rsidRDefault="00114734" w:rsidP="00114734">
            <w:pPr>
              <w:autoSpaceDE w:val="0"/>
              <w:autoSpaceDN w:val="0"/>
              <w:adjustRightInd w:val="0"/>
              <w:jc w:val="center"/>
              <w:rPr>
                <w:b/>
                <w:i/>
                <w:color w:val="000000"/>
                <w:sz w:val="22"/>
                <w:szCs w:val="24"/>
              </w:rPr>
            </w:pPr>
          </w:p>
        </w:tc>
        <w:tc>
          <w:tcPr>
            <w:tcW w:w="1870" w:type="dxa"/>
            <w:shd w:val="clear" w:color="auto" w:fill="D9D9D9"/>
            <w:vAlign w:val="center"/>
          </w:tcPr>
          <w:p w14:paraId="7D8E1DC9" w14:textId="77777777" w:rsidR="00114734" w:rsidRPr="00114734" w:rsidRDefault="00114734" w:rsidP="00114734">
            <w:pPr>
              <w:autoSpaceDE w:val="0"/>
              <w:autoSpaceDN w:val="0"/>
              <w:adjustRightInd w:val="0"/>
              <w:jc w:val="center"/>
              <w:rPr>
                <w:b/>
                <w:color w:val="000000"/>
                <w:sz w:val="22"/>
                <w:szCs w:val="24"/>
              </w:rPr>
            </w:pPr>
            <w:r w:rsidRPr="00114734">
              <w:rPr>
                <w:b/>
                <w:color w:val="000000"/>
                <w:sz w:val="22"/>
                <w:szCs w:val="24"/>
              </w:rPr>
              <w:t>Total Estimated Amount</w:t>
            </w:r>
          </w:p>
          <w:p w14:paraId="5019AF57" w14:textId="77777777" w:rsidR="00114734" w:rsidRPr="00114734" w:rsidRDefault="00114734" w:rsidP="00114734">
            <w:pPr>
              <w:autoSpaceDE w:val="0"/>
              <w:autoSpaceDN w:val="0"/>
              <w:adjustRightInd w:val="0"/>
              <w:jc w:val="center"/>
              <w:rPr>
                <w:b/>
                <w:color w:val="000000"/>
                <w:sz w:val="22"/>
                <w:szCs w:val="24"/>
              </w:rPr>
            </w:pPr>
            <w:r w:rsidRPr="00114734">
              <w:rPr>
                <w:b/>
                <w:color w:val="000000"/>
                <w:sz w:val="22"/>
                <w:szCs w:val="24"/>
              </w:rPr>
              <w:t>Base + Option</w:t>
            </w:r>
          </w:p>
        </w:tc>
      </w:tr>
      <w:tr w:rsidR="00114734" w:rsidRPr="00114734" w14:paraId="661F9A4C" w14:textId="77777777" w:rsidTr="00FC3249">
        <w:trPr>
          <w:trHeight w:val="510"/>
        </w:trPr>
        <w:tc>
          <w:tcPr>
            <w:tcW w:w="2856" w:type="dxa"/>
          </w:tcPr>
          <w:p w14:paraId="36D9C1FC" w14:textId="77777777" w:rsidR="00114734" w:rsidRPr="00114734" w:rsidRDefault="00114734" w:rsidP="00114734">
            <w:pPr>
              <w:autoSpaceDE w:val="0"/>
              <w:autoSpaceDN w:val="0"/>
              <w:adjustRightInd w:val="0"/>
              <w:rPr>
                <w:color w:val="000000"/>
                <w:szCs w:val="24"/>
              </w:rPr>
            </w:pPr>
            <w:r w:rsidRPr="00114734">
              <w:rPr>
                <w:color w:val="000000"/>
                <w:szCs w:val="24"/>
              </w:rPr>
              <w:t>Direct Labor (fully burdened) – Prime</w:t>
            </w:r>
          </w:p>
        </w:tc>
        <w:tc>
          <w:tcPr>
            <w:tcW w:w="1721" w:type="dxa"/>
          </w:tcPr>
          <w:p w14:paraId="5AF3A3C2" w14:textId="77777777" w:rsidR="00114734" w:rsidRPr="00114734" w:rsidRDefault="00114734" w:rsidP="00114734">
            <w:pPr>
              <w:autoSpaceDE w:val="0"/>
              <w:autoSpaceDN w:val="0"/>
              <w:adjustRightInd w:val="0"/>
              <w:rPr>
                <w:color w:val="000000"/>
                <w:szCs w:val="24"/>
              </w:rPr>
            </w:pPr>
          </w:p>
        </w:tc>
        <w:tc>
          <w:tcPr>
            <w:tcW w:w="1842" w:type="dxa"/>
          </w:tcPr>
          <w:p w14:paraId="4FDE20B1" w14:textId="77777777" w:rsidR="00114734" w:rsidRPr="00114734" w:rsidRDefault="00114734" w:rsidP="00114734">
            <w:pPr>
              <w:autoSpaceDE w:val="0"/>
              <w:autoSpaceDN w:val="0"/>
              <w:adjustRightInd w:val="0"/>
              <w:rPr>
                <w:color w:val="000000"/>
                <w:szCs w:val="24"/>
              </w:rPr>
            </w:pPr>
          </w:p>
        </w:tc>
        <w:tc>
          <w:tcPr>
            <w:tcW w:w="1870" w:type="dxa"/>
          </w:tcPr>
          <w:p w14:paraId="179910A0" w14:textId="77777777" w:rsidR="00114734" w:rsidRPr="00114734" w:rsidRDefault="00114734" w:rsidP="00114734">
            <w:pPr>
              <w:autoSpaceDE w:val="0"/>
              <w:autoSpaceDN w:val="0"/>
              <w:adjustRightInd w:val="0"/>
              <w:rPr>
                <w:color w:val="000000"/>
                <w:szCs w:val="24"/>
              </w:rPr>
            </w:pPr>
          </w:p>
        </w:tc>
      </w:tr>
      <w:tr w:rsidR="00114734" w:rsidRPr="00114734" w14:paraId="526D4D9D" w14:textId="77777777" w:rsidTr="00FC3249">
        <w:trPr>
          <w:trHeight w:val="248"/>
        </w:trPr>
        <w:tc>
          <w:tcPr>
            <w:tcW w:w="2856" w:type="dxa"/>
          </w:tcPr>
          <w:p w14:paraId="656F3D15" w14:textId="77777777" w:rsidR="00114734" w:rsidRPr="00114734" w:rsidRDefault="00114734" w:rsidP="00114734">
            <w:pPr>
              <w:autoSpaceDE w:val="0"/>
              <w:autoSpaceDN w:val="0"/>
              <w:adjustRightInd w:val="0"/>
              <w:rPr>
                <w:color w:val="000000"/>
                <w:szCs w:val="24"/>
              </w:rPr>
            </w:pPr>
            <w:r w:rsidRPr="00114734">
              <w:rPr>
                <w:color w:val="000000"/>
                <w:szCs w:val="24"/>
              </w:rPr>
              <w:t>Subcontractors/Consultants</w:t>
            </w:r>
          </w:p>
        </w:tc>
        <w:tc>
          <w:tcPr>
            <w:tcW w:w="1721" w:type="dxa"/>
          </w:tcPr>
          <w:p w14:paraId="778748E9" w14:textId="77777777" w:rsidR="00114734" w:rsidRPr="00114734" w:rsidRDefault="00114734" w:rsidP="00114734">
            <w:pPr>
              <w:autoSpaceDE w:val="0"/>
              <w:autoSpaceDN w:val="0"/>
              <w:adjustRightInd w:val="0"/>
              <w:rPr>
                <w:color w:val="000000"/>
                <w:szCs w:val="24"/>
              </w:rPr>
            </w:pPr>
          </w:p>
        </w:tc>
        <w:tc>
          <w:tcPr>
            <w:tcW w:w="1842" w:type="dxa"/>
          </w:tcPr>
          <w:p w14:paraId="1C04FD45" w14:textId="77777777" w:rsidR="00114734" w:rsidRPr="00114734" w:rsidRDefault="00114734" w:rsidP="00114734">
            <w:pPr>
              <w:autoSpaceDE w:val="0"/>
              <w:autoSpaceDN w:val="0"/>
              <w:adjustRightInd w:val="0"/>
              <w:rPr>
                <w:color w:val="000000"/>
                <w:szCs w:val="24"/>
              </w:rPr>
            </w:pPr>
          </w:p>
        </w:tc>
        <w:tc>
          <w:tcPr>
            <w:tcW w:w="1870" w:type="dxa"/>
          </w:tcPr>
          <w:p w14:paraId="067505D4" w14:textId="77777777" w:rsidR="00114734" w:rsidRPr="00114734" w:rsidRDefault="00114734" w:rsidP="00114734">
            <w:pPr>
              <w:autoSpaceDE w:val="0"/>
              <w:autoSpaceDN w:val="0"/>
              <w:adjustRightInd w:val="0"/>
              <w:rPr>
                <w:color w:val="000000"/>
                <w:szCs w:val="24"/>
              </w:rPr>
            </w:pPr>
          </w:p>
        </w:tc>
      </w:tr>
      <w:tr w:rsidR="00114734" w:rsidRPr="00114734" w14:paraId="6E1DE681" w14:textId="77777777" w:rsidTr="00FC3249">
        <w:trPr>
          <w:trHeight w:val="248"/>
        </w:trPr>
        <w:tc>
          <w:tcPr>
            <w:tcW w:w="2856" w:type="dxa"/>
          </w:tcPr>
          <w:p w14:paraId="46475155" w14:textId="77777777" w:rsidR="00114734" w:rsidRPr="00114734" w:rsidRDefault="00114734" w:rsidP="00114734">
            <w:pPr>
              <w:autoSpaceDE w:val="0"/>
              <w:autoSpaceDN w:val="0"/>
              <w:adjustRightInd w:val="0"/>
              <w:rPr>
                <w:color w:val="000000"/>
                <w:szCs w:val="24"/>
              </w:rPr>
            </w:pPr>
            <w:r w:rsidRPr="00114734">
              <w:rPr>
                <w:color w:val="000000"/>
                <w:szCs w:val="24"/>
              </w:rPr>
              <w:t>Material</w:t>
            </w:r>
          </w:p>
        </w:tc>
        <w:tc>
          <w:tcPr>
            <w:tcW w:w="1721" w:type="dxa"/>
          </w:tcPr>
          <w:p w14:paraId="390806CA" w14:textId="77777777" w:rsidR="00114734" w:rsidRPr="00114734" w:rsidRDefault="00114734" w:rsidP="00114734">
            <w:pPr>
              <w:autoSpaceDE w:val="0"/>
              <w:autoSpaceDN w:val="0"/>
              <w:adjustRightInd w:val="0"/>
              <w:rPr>
                <w:color w:val="000000"/>
                <w:szCs w:val="24"/>
              </w:rPr>
            </w:pPr>
          </w:p>
        </w:tc>
        <w:tc>
          <w:tcPr>
            <w:tcW w:w="1842" w:type="dxa"/>
          </w:tcPr>
          <w:p w14:paraId="03F95638" w14:textId="77777777" w:rsidR="00114734" w:rsidRPr="00114734" w:rsidRDefault="00114734" w:rsidP="00114734">
            <w:pPr>
              <w:autoSpaceDE w:val="0"/>
              <w:autoSpaceDN w:val="0"/>
              <w:adjustRightInd w:val="0"/>
              <w:rPr>
                <w:color w:val="000000"/>
                <w:szCs w:val="24"/>
              </w:rPr>
            </w:pPr>
          </w:p>
        </w:tc>
        <w:tc>
          <w:tcPr>
            <w:tcW w:w="1870" w:type="dxa"/>
          </w:tcPr>
          <w:p w14:paraId="0F6D45DD" w14:textId="77777777" w:rsidR="00114734" w:rsidRPr="00114734" w:rsidRDefault="00114734" w:rsidP="00114734">
            <w:pPr>
              <w:autoSpaceDE w:val="0"/>
              <w:autoSpaceDN w:val="0"/>
              <w:adjustRightInd w:val="0"/>
              <w:rPr>
                <w:color w:val="000000"/>
                <w:szCs w:val="24"/>
              </w:rPr>
            </w:pPr>
          </w:p>
        </w:tc>
      </w:tr>
      <w:tr w:rsidR="00114734" w:rsidRPr="00114734" w14:paraId="091128DC" w14:textId="77777777" w:rsidTr="00FC3249">
        <w:trPr>
          <w:trHeight w:val="248"/>
        </w:trPr>
        <w:tc>
          <w:tcPr>
            <w:tcW w:w="2856" w:type="dxa"/>
          </w:tcPr>
          <w:p w14:paraId="0C20DE0D" w14:textId="77777777" w:rsidR="00114734" w:rsidRPr="00114734" w:rsidRDefault="00114734" w:rsidP="00114734">
            <w:pPr>
              <w:autoSpaceDE w:val="0"/>
              <w:autoSpaceDN w:val="0"/>
              <w:adjustRightInd w:val="0"/>
              <w:rPr>
                <w:color w:val="000000"/>
                <w:szCs w:val="24"/>
              </w:rPr>
            </w:pPr>
            <w:r w:rsidRPr="00114734">
              <w:rPr>
                <w:color w:val="000000"/>
                <w:szCs w:val="24"/>
              </w:rPr>
              <w:t>Travel &amp; ODC</w:t>
            </w:r>
          </w:p>
        </w:tc>
        <w:tc>
          <w:tcPr>
            <w:tcW w:w="1721" w:type="dxa"/>
          </w:tcPr>
          <w:p w14:paraId="63F33D83" w14:textId="77777777" w:rsidR="00114734" w:rsidRPr="00114734" w:rsidRDefault="00114734" w:rsidP="00114734">
            <w:pPr>
              <w:autoSpaceDE w:val="0"/>
              <w:autoSpaceDN w:val="0"/>
              <w:adjustRightInd w:val="0"/>
              <w:rPr>
                <w:color w:val="000000"/>
                <w:szCs w:val="24"/>
              </w:rPr>
            </w:pPr>
          </w:p>
        </w:tc>
        <w:tc>
          <w:tcPr>
            <w:tcW w:w="1842" w:type="dxa"/>
          </w:tcPr>
          <w:p w14:paraId="058BAB8D" w14:textId="77777777" w:rsidR="00114734" w:rsidRPr="00114734" w:rsidRDefault="00114734" w:rsidP="00114734">
            <w:pPr>
              <w:autoSpaceDE w:val="0"/>
              <w:autoSpaceDN w:val="0"/>
              <w:adjustRightInd w:val="0"/>
              <w:rPr>
                <w:color w:val="000000"/>
                <w:szCs w:val="24"/>
              </w:rPr>
            </w:pPr>
          </w:p>
        </w:tc>
        <w:tc>
          <w:tcPr>
            <w:tcW w:w="1870" w:type="dxa"/>
          </w:tcPr>
          <w:p w14:paraId="5A40F558" w14:textId="77777777" w:rsidR="00114734" w:rsidRPr="00114734" w:rsidRDefault="00114734" w:rsidP="00114734">
            <w:pPr>
              <w:autoSpaceDE w:val="0"/>
              <w:autoSpaceDN w:val="0"/>
              <w:adjustRightInd w:val="0"/>
              <w:rPr>
                <w:color w:val="000000"/>
                <w:szCs w:val="24"/>
              </w:rPr>
            </w:pPr>
          </w:p>
        </w:tc>
      </w:tr>
      <w:tr w:rsidR="00114734" w:rsidRPr="00114734" w14:paraId="72809BE7" w14:textId="77777777" w:rsidTr="00FC3249">
        <w:trPr>
          <w:trHeight w:val="248"/>
        </w:trPr>
        <w:tc>
          <w:tcPr>
            <w:tcW w:w="2856" w:type="dxa"/>
          </w:tcPr>
          <w:p w14:paraId="72592502" w14:textId="77777777" w:rsidR="00114734" w:rsidRPr="00114734" w:rsidRDefault="00114734" w:rsidP="00114734">
            <w:pPr>
              <w:autoSpaceDE w:val="0"/>
              <w:autoSpaceDN w:val="0"/>
              <w:adjustRightInd w:val="0"/>
              <w:rPr>
                <w:color w:val="000000"/>
                <w:szCs w:val="24"/>
              </w:rPr>
            </w:pPr>
            <w:r w:rsidRPr="00114734">
              <w:rPr>
                <w:color w:val="000000"/>
                <w:szCs w:val="24"/>
              </w:rPr>
              <w:t>G&amp;A</w:t>
            </w:r>
          </w:p>
        </w:tc>
        <w:tc>
          <w:tcPr>
            <w:tcW w:w="1721" w:type="dxa"/>
          </w:tcPr>
          <w:p w14:paraId="60EDBA8E" w14:textId="77777777" w:rsidR="00114734" w:rsidRPr="00114734" w:rsidRDefault="00114734" w:rsidP="00114734">
            <w:pPr>
              <w:autoSpaceDE w:val="0"/>
              <w:autoSpaceDN w:val="0"/>
              <w:adjustRightInd w:val="0"/>
              <w:rPr>
                <w:color w:val="000000"/>
                <w:szCs w:val="24"/>
              </w:rPr>
            </w:pPr>
          </w:p>
        </w:tc>
        <w:tc>
          <w:tcPr>
            <w:tcW w:w="1842" w:type="dxa"/>
          </w:tcPr>
          <w:p w14:paraId="1B1ACB1B" w14:textId="77777777" w:rsidR="00114734" w:rsidRPr="00114734" w:rsidRDefault="00114734" w:rsidP="00114734">
            <w:pPr>
              <w:autoSpaceDE w:val="0"/>
              <w:autoSpaceDN w:val="0"/>
              <w:adjustRightInd w:val="0"/>
              <w:rPr>
                <w:color w:val="000000"/>
                <w:szCs w:val="24"/>
              </w:rPr>
            </w:pPr>
          </w:p>
        </w:tc>
        <w:tc>
          <w:tcPr>
            <w:tcW w:w="1870" w:type="dxa"/>
          </w:tcPr>
          <w:p w14:paraId="6DEE8566" w14:textId="77777777" w:rsidR="00114734" w:rsidRPr="00114734" w:rsidRDefault="00114734" w:rsidP="00114734">
            <w:pPr>
              <w:autoSpaceDE w:val="0"/>
              <w:autoSpaceDN w:val="0"/>
              <w:adjustRightInd w:val="0"/>
              <w:rPr>
                <w:color w:val="000000"/>
                <w:szCs w:val="24"/>
              </w:rPr>
            </w:pPr>
          </w:p>
        </w:tc>
      </w:tr>
      <w:tr w:rsidR="00114734" w:rsidRPr="00114734" w14:paraId="2D4623B2" w14:textId="77777777" w:rsidTr="00FC3249">
        <w:trPr>
          <w:trHeight w:val="248"/>
        </w:trPr>
        <w:tc>
          <w:tcPr>
            <w:tcW w:w="2856" w:type="dxa"/>
          </w:tcPr>
          <w:p w14:paraId="4AE9E4E1" w14:textId="77777777" w:rsidR="00114734" w:rsidRPr="00114734" w:rsidRDefault="00114734" w:rsidP="00114734">
            <w:pPr>
              <w:autoSpaceDE w:val="0"/>
              <w:autoSpaceDN w:val="0"/>
              <w:adjustRightInd w:val="0"/>
              <w:rPr>
                <w:color w:val="000000"/>
                <w:szCs w:val="24"/>
              </w:rPr>
            </w:pPr>
            <w:r w:rsidRPr="00114734">
              <w:rPr>
                <w:color w:val="000000"/>
                <w:szCs w:val="24"/>
              </w:rPr>
              <w:t>FCCM</w:t>
            </w:r>
          </w:p>
        </w:tc>
        <w:tc>
          <w:tcPr>
            <w:tcW w:w="1721" w:type="dxa"/>
          </w:tcPr>
          <w:p w14:paraId="09FE5E3D" w14:textId="77777777" w:rsidR="00114734" w:rsidRPr="00114734" w:rsidRDefault="00114734" w:rsidP="00114734">
            <w:pPr>
              <w:autoSpaceDE w:val="0"/>
              <w:autoSpaceDN w:val="0"/>
              <w:adjustRightInd w:val="0"/>
              <w:rPr>
                <w:color w:val="000000"/>
                <w:szCs w:val="24"/>
              </w:rPr>
            </w:pPr>
          </w:p>
        </w:tc>
        <w:tc>
          <w:tcPr>
            <w:tcW w:w="1842" w:type="dxa"/>
          </w:tcPr>
          <w:p w14:paraId="7E71FD1C" w14:textId="77777777" w:rsidR="00114734" w:rsidRPr="00114734" w:rsidRDefault="00114734" w:rsidP="00114734">
            <w:pPr>
              <w:autoSpaceDE w:val="0"/>
              <w:autoSpaceDN w:val="0"/>
              <w:adjustRightInd w:val="0"/>
              <w:rPr>
                <w:color w:val="000000"/>
                <w:szCs w:val="24"/>
              </w:rPr>
            </w:pPr>
          </w:p>
        </w:tc>
        <w:tc>
          <w:tcPr>
            <w:tcW w:w="1870" w:type="dxa"/>
          </w:tcPr>
          <w:p w14:paraId="760808CA" w14:textId="77777777" w:rsidR="00114734" w:rsidRPr="00114734" w:rsidRDefault="00114734" w:rsidP="00114734">
            <w:pPr>
              <w:autoSpaceDE w:val="0"/>
              <w:autoSpaceDN w:val="0"/>
              <w:adjustRightInd w:val="0"/>
              <w:rPr>
                <w:color w:val="000000"/>
                <w:szCs w:val="24"/>
              </w:rPr>
            </w:pPr>
          </w:p>
        </w:tc>
      </w:tr>
      <w:tr w:rsidR="00114734" w:rsidRPr="00114734" w14:paraId="71357C5F" w14:textId="77777777" w:rsidTr="00FC3249">
        <w:trPr>
          <w:trHeight w:val="248"/>
        </w:trPr>
        <w:tc>
          <w:tcPr>
            <w:tcW w:w="2856" w:type="dxa"/>
          </w:tcPr>
          <w:p w14:paraId="76D4364F" w14:textId="77777777" w:rsidR="00114734" w:rsidRPr="00114734" w:rsidRDefault="00114734" w:rsidP="00114734">
            <w:pPr>
              <w:autoSpaceDE w:val="0"/>
              <w:autoSpaceDN w:val="0"/>
              <w:adjustRightInd w:val="0"/>
              <w:rPr>
                <w:color w:val="000000"/>
                <w:szCs w:val="24"/>
              </w:rPr>
            </w:pPr>
            <w:r w:rsidRPr="00114734">
              <w:rPr>
                <w:color w:val="000000"/>
                <w:szCs w:val="24"/>
              </w:rPr>
              <w:t>Fee/Profit</w:t>
            </w:r>
          </w:p>
        </w:tc>
        <w:tc>
          <w:tcPr>
            <w:tcW w:w="1721" w:type="dxa"/>
          </w:tcPr>
          <w:p w14:paraId="46345BF3" w14:textId="77777777" w:rsidR="00114734" w:rsidRPr="00114734" w:rsidRDefault="00114734" w:rsidP="00114734">
            <w:pPr>
              <w:autoSpaceDE w:val="0"/>
              <w:autoSpaceDN w:val="0"/>
              <w:adjustRightInd w:val="0"/>
              <w:rPr>
                <w:color w:val="000000"/>
                <w:szCs w:val="24"/>
              </w:rPr>
            </w:pPr>
          </w:p>
        </w:tc>
        <w:tc>
          <w:tcPr>
            <w:tcW w:w="1842" w:type="dxa"/>
          </w:tcPr>
          <w:p w14:paraId="61B85ECE" w14:textId="77777777" w:rsidR="00114734" w:rsidRPr="00114734" w:rsidRDefault="00114734" w:rsidP="00114734">
            <w:pPr>
              <w:autoSpaceDE w:val="0"/>
              <w:autoSpaceDN w:val="0"/>
              <w:adjustRightInd w:val="0"/>
              <w:rPr>
                <w:color w:val="000000"/>
                <w:szCs w:val="24"/>
              </w:rPr>
            </w:pPr>
          </w:p>
        </w:tc>
        <w:tc>
          <w:tcPr>
            <w:tcW w:w="1870" w:type="dxa"/>
          </w:tcPr>
          <w:p w14:paraId="7919E364" w14:textId="77777777" w:rsidR="00114734" w:rsidRPr="00114734" w:rsidRDefault="00114734" w:rsidP="00114734">
            <w:pPr>
              <w:autoSpaceDE w:val="0"/>
              <w:autoSpaceDN w:val="0"/>
              <w:adjustRightInd w:val="0"/>
              <w:rPr>
                <w:color w:val="000000"/>
                <w:szCs w:val="24"/>
              </w:rPr>
            </w:pPr>
          </w:p>
        </w:tc>
      </w:tr>
      <w:tr w:rsidR="00114734" w:rsidRPr="00114734" w14:paraId="642FC871" w14:textId="77777777" w:rsidTr="00FC3249">
        <w:trPr>
          <w:trHeight w:val="510"/>
        </w:trPr>
        <w:tc>
          <w:tcPr>
            <w:tcW w:w="2856" w:type="dxa"/>
          </w:tcPr>
          <w:p w14:paraId="2BF12AE5" w14:textId="77777777" w:rsidR="00114734" w:rsidRPr="00114734" w:rsidRDefault="00114734" w:rsidP="00114734">
            <w:pPr>
              <w:autoSpaceDE w:val="0"/>
              <w:autoSpaceDN w:val="0"/>
              <w:adjustRightInd w:val="0"/>
              <w:rPr>
                <w:color w:val="000000"/>
                <w:szCs w:val="24"/>
              </w:rPr>
            </w:pPr>
            <w:r w:rsidRPr="00114734">
              <w:rPr>
                <w:color w:val="000000"/>
                <w:szCs w:val="24"/>
              </w:rPr>
              <w:t>TABA (NTE $25K, included in total amount)</w:t>
            </w:r>
          </w:p>
        </w:tc>
        <w:tc>
          <w:tcPr>
            <w:tcW w:w="1721" w:type="dxa"/>
          </w:tcPr>
          <w:p w14:paraId="5E0759B3" w14:textId="77777777" w:rsidR="00114734" w:rsidRPr="00114734" w:rsidRDefault="00114734" w:rsidP="00114734">
            <w:pPr>
              <w:autoSpaceDE w:val="0"/>
              <w:autoSpaceDN w:val="0"/>
              <w:adjustRightInd w:val="0"/>
              <w:rPr>
                <w:color w:val="000000"/>
                <w:szCs w:val="24"/>
              </w:rPr>
            </w:pPr>
          </w:p>
        </w:tc>
        <w:tc>
          <w:tcPr>
            <w:tcW w:w="1842" w:type="dxa"/>
          </w:tcPr>
          <w:p w14:paraId="5B08FEF1" w14:textId="77777777" w:rsidR="00114734" w:rsidRPr="00114734" w:rsidRDefault="00114734" w:rsidP="00114734">
            <w:pPr>
              <w:autoSpaceDE w:val="0"/>
              <w:autoSpaceDN w:val="0"/>
              <w:adjustRightInd w:val="0"/>
              <w:rPr>
                <w:color w:val="000000"/>
                <w:szCs w:val="24"/>
              </w:rPr>
            </w:pPr>
          </w:p>
        </w:tc>
        <w:tc>
          <w:tcPr>
            <w:tcW w:w="1870" w:type="dxa"/>
          </w:tcPr>
          <w:p w14:paraId="0329585E" w14:textId="77777777" w:rsidR="00114734" w:rsidRPr="00114734" w:rsidRDefault="00114734" w:rsidP="00114734">
            <w:pPr>
              <w:autoSpaceDE w:val="0"/>
              <w:autoSpaceDN w:val="0"/>
              <w:adjustRightInd w:val="0"/>
              <w:rPr>
                <w:color w:val="000000"/>
                <w:szCs w:val="24"/>
              </w:rPr>
            </w:pPr>
          </w:p>
        </w:tc>
      </w:tr>
      <w:tr w:rsidR="00114734" w:rsidRPr="00114734" w14:paraId="0D318536" w14:textId="77777777" w:rsidTr="00FC3249">
        <w:trPr>
          <w:trHeight w:val="496"/>
        </w:trPr>
        <w:tc>
          <w:tcPr>
            <w:tcW w:w="2856" w:type="dxa"/>
          </w:tcPr>
          <w:p w14:paraId="18297D09" w14:textId="77777777" w:rsidR="00114734" w:rsidRPr="00114734" w:rsidRDefault="00114734" w:rsidP="00114734">
            <w:pPr>
              <w:autoSpaceDE w:val="0"/>
              <w:autoSpaceDN w:val="0"/>
              <w:adjustRightInd w:val="0"/>
              <w:jc w:val="right"/>
              <w:rPr>
                <w:color w:val="000000"/>
                <w:szCs w:val="24"/>
              </w:rPr>
            </w:pPr>
            <w:r w:rsidRPr="00114734">
              <w:rPr>
                <w:color w:val="000000"/>
                <w:szCs w:val="24"/>
              </w:rPr>
              <w:t xml:space="preserve">Total Estimated Costs </w:t>
            </w:r>
          </w:p>
          <w:p w14:paraId="0AAE6E8E" w14:textId="77777777" w:rsidR="00114734" w:rsidRPr="00114734" w:rsidRDefault="00114734" w:rsidP="00114734">
            <w:pPr>
              <w:autoSpaceDE w:val="0"/>
              <w:autoSpaceDN w:val="0"/>
              <w:adjustRightInd w:val="0"/>
              <w:jc w:val="right"/>
              <w:rPr>
                <w:color w:val="000000"/>
                <w:szCs w:val="24"/>
              </w:rPr>
            </w:pPr>
          </w:p>
        </w:tc>
        <w:tc>
          <w:tcPr>
            <w:tcW w:w="1721" w:type="dxa"/>
          </w:tcPr>
          <w:p w14:paraId="60D3FE79" w14:textId="77777777" w:rsidR="00114734" w:rsidRPr="00114734" w:rsidRDefault="00114734" w:rsidP="00114734">
            <w:pPr>
              <w:autoSpaceDE w:val="0"/>
              <w:autoSpaceDN w:val="0"/>
              <w:adjustRightInd w:val="0"/>
              <w:rPr>
                <w:color w:val="000000"/>
                <w:szCs w:val="24"/>
              </w:rPr>
            </w:pPr>
          </w:p>
        </w:tc>
        <w:tc>
          <w:tcPr>
            <w:tcW w:w="1842" w:type="dxa"/>
          </w:tcPr>
          <w:p w14:paraId="3FD64D56" w14:textId="77777777" w:rsidR="00114734" w:rsidRPr="00114734" w:rsidRDefault="00114734" w:rsidP="00114734">
            <w:pPr>
              <w:autoSpaceDE w:val="0"/>
              <w:autoSpaceDN w:val="0"/>
              <w:adjustRightInd w:val="0"/>
              <w:rPr>
                <w:color w:val="000000"/>
                <w:szCs w:val="24"/>
              </w:rPr>
            </w:pPr>
          </w:p>
        </w:tc>
        <w:tc>
          <w:tcPr>
            <w:tcW w:w="1870" w:type="dxa"/>
          </w:tcPr>
          <w:p w14:paraId="1B61ACDE" w14:textId="77777777" w:rsidR="00114734" w:rsidRPr="00114734" w:rsidRDefault="00114734" w:rsidP="00114734">
            <w:pPr>
              <w:autoSpaceDE w:val="0"/>
              <w:autoSpaceDN w:val="0"/>
              <w:adjustRightInd w:val="0"/>
              <w:rPr>
                <w:color w:val="000000"/>
                <w:szCs w:val="24"/>
              </w:rPr>
            </w:pPr>
          </w:p>
        </w:tc>
      </w:tr>
    </w:tbl>
    <w:p w14:paraId="2B697020" w14:textId="77777777" w:rsidR="00FC3249" w:rsidRPr="0014557F" w:rsidRDefault="00FC3249" w:rsidP="00114734">
      <w:pPr>
        <w:contextualSpacing/>
        <w:jc w:val="both"/>
        <w:rPr>
          <w:rFonts w:eastAsia="Times New Roman" w:cs="Times New Roman"/>
          <w:sz w:val="22"/>
        </w:rPr>
      </w:pPr>
    </w:p>
    <w:p w14:paraId="05334B33" w14:textId="66CFBD27" w:rsidR="000B7AEF" w:rsidRDefault="00114734" w:rsidP="00114734">
      <w:pPr>
        <w:contextualSpacing/>
        <w:jc w:val="center"/>
        <w:rPr>
          <w:rFonts w:eastAsia="Times New Roman" w:cs="Times New Roman"/>
          <w:sz w:val="22"/>
        </w:rPr>
      </w:pPr>
      <w:r w:rsidRPr="00BD3050">
        <w:rPr>
          <w:b/>
          <w:color w:val="000000"/>
          <w:sz w:val="22"/>
        </w:rPr>
        <w:t xml:space="preserve">TABLE </w:t>
      </w:r>
      <w:r>
        <w:rPr>
          <w:b/>
          <w:color w:val="000000"/>
          <w:sz w:val="22"/>
        </w:rPr>
        <w:t>2</w:t>
      </w:r>
      <w:r w:rsidRPr="00BD3050">
        <w:rPr>
          <w:b/>
          <w:color w:val="000000"/>
          <w:sz w:val="22"/>
        </w:rPr>
        <w:t xml:space="preserve">: </w:t>
      </w:r>
      <w:r>
        <w:rPr>
          <w:b/>
          <w:color w:val="000000"/>
          <w:sz w:val="22"/>
        </w:rPr>
        <w:t>COST &amp; PERIOD OF PERFORMANCE</w:t>
      </w:r>
    </w:p>
    <w:tbl>
      <w:tblPr>
        <w:tblStyle w:val="TableGrid1"/>
        <w:tblW w:w="6652" w:type="dxa"/>
        <w:tblInd w:w="1345" w:type="dxa"/>
        <w:tblLayout w:type="fixed"/>
        <w:tblLook w:val="0420" w:firstRow="1" w:lastRow="0" w:firstColumn="0" w:lastColumn="0" w:noHBand="0" w:noVBand="1"/>
      </w:tblPr>
      <w:tblGrid>
        <w:gridCol w:w="1328"/>
        <w:gridCol w:w="1254"/>
        <w:gridCol w:w="1285"/>
        <w:gridCol w:w="1286"/>
        <w:gridCol w:w="1499"/>
      </w:tblGrid>
      <w:tr w:rsidR="001565A7" w:rsidRPr="00772D1D" w14:paraId="27029CE4" w14:textId="77777777" w:rsidTr="0014557F">
        <w:trPr>
          <w:trHeight w:val="520"/>
        </w:trPr>
        <w:tc>
          <w:tcPr>
            <w:tcW w:w="2582" w:type="dxa"/>
            <w:gridSpan w:val="2"/>
            <w:tcBorders>
              <w:top w:val="single" w:sz="4" w:space="0" w:color="auto"/>
              <w:left w:val="single" w:sz="4" w:space="0" w:color="auto"/>
              <w:bottom w:val="single" w:sz="4" w:space="0" w:color="auto"/>
            </w:tcBorders>
            <w:shd w:val="clear" w:color="auto" w:fill="D5DCE4"/>
            <w:vAlign w:val="center"/>
          </w:tcPr>
          <w:p w14:paraId="61FA3271" w14:textId="77777777" w:rsidR="001565A7" w:rsidRPr="000B7AEF" w:rsidRDefault="001565A7" w:rsidP="000B7AEF">
            <w:pPr>
              <w:ind w:left="86"/>
              <w:jc w:val="center"/>
              <w:rPr>
                <w:rFonts w:eastAsia="Times New Roman" w:cs="Times New Roman"/>
                <w:b/>
                <w:bCs/>
                <w:sz w:val="20"/>
              </w:rPr>
            </w:pPr>
            <w:r w:rsidRPr="000B7AEF">
              <w:rPr>
                <w:rFonts w:eastAsia="Times New Roman" w:cs="Times New Roman"/>
                <w:b/>
                <w:bCs/>
                <w:sz w:val="20"/>
              </w:rPr>
              <w:t>Base</w:t>
            </w:r>
          </w:p>
        </w:tc>
        <w:tc>
          <w:tcPr>
            <w:tcW w:w="2571" w:type="dxa"/>
            <w:gridSpan w:val="2"/>
            <w:shd w:val="clear" w:color="auto" w:fill="D5DCE4"/>
            <w:vAlign w:val="center"/>
          </w:tcPr>
          <w:p w14:paraId="5852E9B7" w14:textId="4C88AD96" w:rsidR="001565A7" w:rsidRPr="000B7AEF" w:rsidRDefault="001565A7" w:rsidP="0014557F">
            <w:pPr>
              <w:jc w:val="center"/>
              <w:rPr>
                <w:rFonts w:eastAsia="Times New Roman" w:cs="Times New Roman"/>
                <w:bCs/>
                <w:sz w:val="20"/>
              </w:rPr>
            </w:pPr>
            <w:r w:rsidRPr="000B7AEF">
              <w:rPr>
                <w:rFonts w:eastAsia="Times New Roman" w:cs="Times New Roman"/>
                <w:b/>
                <w:bCs/>
                <w:sz w:val="20"/>
              </w:rPr>
              <w:t>Option One</w:t>
            </w:r>
          </w:p>
        </w:tc>
        <w:tc>
          <w:tcPr>
            <w:tcW w:w="1499" w:type="dxa"/>
            <w:vMerge w:val="restart"/>
            <w:shd w:val="clear" w:color="auto" w:fill="D9D9D9"/>
            <w:vAlign w:val="center"/>
          </w:tcPr>
          <w:p w14:paraId="469CBE6B" w14:textId="77777777" w:rsidR="001565A7" w:rsidRPr="000B7AEF" w:rsidRDefault="001565A7" w:rsidP="000B7AEF">
            <w:pPr>
              <w:ind w:left="90"/>
              <w:jc w:val="center"/>
              <w:rPr>
                <w:rFonts w:eastAsia="Times New Roman" w:cs="Times New Roman"/>
                <w:b/>
                <w:bCs/>
                <w:sz w:val="22"/>
                <w:szCs w:val="22"/>
              </w:rPr>
            </w:pPr>
            <w:r w:rsidRPr="000B7AEF">
              <w:rPr>
                <w:rFonts w:eastAsia="Times New Roman" w:cs="Times New Roman"/>
                <w:b/>
                <w:bCs/>
                <w:sz w:val="22"/>
                <w:szCs w:val="22"/>
              </w:rPr>
              <w:t>Total</w:t>
            </w:r>
          </w:p>
          <w:p w14:paraId="0641D7DB" w14:textId="77777777" w:rsidR="001565A7" w:rsidRPr="000B7AEF" w:rsidRDefault="001565A7" w:rsidP="000B7AEF">
            <w:pPr>
              <w:ind w:left="90"/>
              <w:jc w:val="center"/>
              <w:rPr>
                <w:rFonts w:eastAsia="Times New Roman" w:cs="Times New Roman"/>
                <w:b/>
                <w:bCs/>
                <w:sz w:val="22"/>
                <w:szCs w:val="22"/>
              </w:rPr>
            </w:pPr>
            <w:r w:rsidRPr="000B7AEF">
              <w:rPr>
                <w:rFonts w:eastAsia="Times New Roman" w:cs="Times New Roman"/>
                <w:b/>
                <w:bCs/>
                <w:sz w:val="22"/>
                <w:szCs w:val="22"/>
              </w:rPr>
              <w:t>(NTE)</w:t>
            </w:r>
          </w:p>
        </w:tc>
      </w:tr>
      <w:tr w:rsidR="001565A7" w:rsidRPr="00772D1D" w14:paraId="3F19C619" w14:textId="77777777" w:rsidTr="001565A7">
        <w:trPr>
          <w:trHeight w:val="490"/>
        </w:trPr>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3347988" w14:textId="77777777" w:rsidR="001565A7" w:rsidRPr="000B7AEF" w:rsidRDefault="001565A7" w:rsidP="000B7AEF">
            <w:pPr>
              <w:ind w:left="90"/>
              <w:jc w:val="center"/>
              <w:rPr>
                <w:rFonts w:eastAsia="Times New Roman" w:cs="Times New Roman"/>
                <w:b/>
                <w:bCs/>
                <w:sz w:val="20"/>
              </w:rPr>
            </w:pPr>
            <w:r w:rsidRPr="000B7AEF">
              <w:rPr>
                <w:rFonts w:eastAsia="Times New Roman" w:cs="Times New Roman"/>
                <w:b/>
                <w:bCs/>
                <w:sz w:val="20"/>
              </w:rPr>
              <w:t>Cost</w:t>
            </w:r>
          </w:p>
          <w:p w14:paraId="6F273B42" w14:textId="77777777" w:rsidR="001565A7" w:rsidRPr="000B7AEF" w:rsidRDefault="001565A7" w:rsidP="000B7AEF">
            <w:pPr>
              <w:ind w:left="90"/>
              <w:jc w:val="center"/>
              <w:rPr>
                <w:rFonts w:eastAsia="Times New Roman" w:cs="Times New Roman"/>
                <w:sz w:val="20"/>
              </w:rPr>
            </w:pPr>
            <w:r w:rsidRPr="000B7AEF">
              <w:rPr>
                <w:rFonts w:eastAsia="Times New Roman" w:cs="Times New Roman"/>
                <w:b/>
                <w:bCs/>
                <w:sz w:val="20"/>
              </w:rPr>
              <w:t>(NTE)</w:t>
            </w:r>
          </w:p>
        </w:tc>
        <w:tc>
          <w:tcPr>
            <w:tcW w:w="1254" w:type="dxa"/>
            <w:tcBorders>
              <w:left w:val="single" w:sz="4" w:space="0" w:color="auto"/>
            </w:tcBorders>
            <w:shd w:val="clear" w:color="auto" w:fill="D9D9D9"/>
          </w:tcPr>
          <w:p w14:paraId="4F193F8C" w14:textId="77777777" w:rsidR="001565A7" w:rsidRPr="000B7AEF" w:rsidRDefault="001565A7" w:rsidP="000B7AEF">
            <w:pPr>
              <w:ind w:left="90"/>
              <w:jc w:val="center"/>
              <w:rPr>
                <w:rFonts w:eastAsia="Times New Roman" w:cs="Times New Roman"/>
                <w:b/>
                <w:bCs/>
                <w:sz w:val="20"/>
              </w:rPr>
            </w:pPr>
            <w:r w:rsidRPr="000B7AEF">
              <w:rPr>
                <w:rFonts w:eastAsia="Times New Roman" w:cs="Times New Roman"/>
                <w:b/>
                <w:bCs/>
                <w:sz w:val="20"/>
              </w:rPr>
              <w:t>POP</w:t>
            </w:r>
          </w:p>
          <w:p w14:paraId="16A7BF58" w14:textId="77777777" w:rsidR="001565A7" w:rsidRPr="000B7AEF" w:rsidRDefault="001565A7" w:rsidP="000B7AEF">
            <w:pPr>
              <w:ind w:left="90"/>
              <w:jc w:val="center"/>
              <w:rPr>
                <w:rFonts w:eastAsia="Times New Roman" w:cs="Times New Roman"/>
                <w:b/>
                <w:bCs/>
                <w:sz w:val="20"/>
              </w:rPr>
            </w:pPr>
            <w:r w:rsidRPr="000B7AEF">
              <w:rPr>
                <w:rFonts w:eastAsia="Times New Roman" w:cs="Times New Roman"/>
                <w:b/>
                <w:bCs/>
                <w:sz w:val="20"/>
              </w:rPr>
              <w:t>(NTE)</w:t>
            </w:r>
          </w:p>
        </w:tc>
        <w:tc>
          <w:tcPr>
            <w:tcW w:w="1285" w:type="dxa"/>
            <w:shd w:val="clear" w:color="auto" w:fill="D9D9D9"/>
            <w:hideMark/>
          </w:tcPr>
          <w:p w14:paraId="3C645282" w14:textId="77777777" w:rsidR="001565A7" w:rsidRPr="000B7AEF" w:rsidRDefault="001565A7" w:rsidP="000B7AEF">
            <w:pPr>
              <w:ind w:left="90"/>
              <w:jc w:val="center"/>
              <w:rPr>
                <w:rFonts w:eastAsia="Times New Roman" w:cs="Times New Roman"/>
                <w:b/>
                <w:bCs/>
                <w:sz w:val="20"/>
              </w:rPr>
            </w:pPr>
            <w:r w:rsidRPr="000B7AEF">
              <w:rPr>
                <w:rFonts w:eastAsia="Times New Roman" w:cs="Times New Roman"/>
                <w:b/>
                <w:bCs/>
                <w:sz w:val="20"/>
              </w:rPr>
              <w:t>Cost</w:t>
            </w:r>
          </w:p>
          <w:p w14:paraId="6FBE2043" w14:textId="77777777" w:rsidR="001565A7" w:rsidRPr="000B7AEF" w:rsidRDefault="001565A7" w:rsidP="000B7AEF">
            <w:pPr>
              <w:ind w:left="90"/>
              <w:jc w:val="center"/>
              <w:rPr>
                <w:rFonts w:eastAsia="Times New Roman" w:cs="Times New Roman"/>
                <w:sz w:val="20"/>
              </w:rPr>
            </w:pPr>
            <w:r w:rsidRPr="000B7AEF">
              <w:rPr>
                <w:rFonts w:eastAsia="Times New Roman" w:cs="Times New Roman"/>
                <w:b/>
                <w:bCs/>
                <w:sz w:val="20"/>
              </w:rPr>
              <w:t>(NTE)</w:t>
            </w:r>
          </w:p>
        </w:tc>
        <w:tc>
          <w:tcPr>
            <w:tcW w:w="1285" w:type="dxa"/>
            <w:shd w:val="clear" w:color="auto" w:fill="D9D9D9"/>
          </w:tcPr>
          <w:p w14:paraId="6BE89EC7" w14:textId="77777777" w:rsidR="001565A7" w:rsidRPr="000B7AEF" w:rsidRDefault="001565A7" w:rsidP="000B7AEF">
            <w:pPr>
              <w:ind w:left="90"/>
              <w:jc w:val="center"/>
              <w:rPr>
                <w:rFonts w:eastAsia="Times New Roman" w:cs="Times New Roman"/>
                <w:b/>
                <w:bCs/>
                <w:sz w:val="20"/>
              </w:rPr>
            </w:pPr>
            <w:r w:rsidRPr="000B7AEF">
              <w:rPr>
                <w:rFonts w:eastAsia="Times New Roman" w:cs="Times New Roman"/>
                <w:b/>
                <w:bCs/>
                <w:sz w:val="20"/>
              </w:rPr>
              <w:t>POP</w:t>
            </w:r>
          </w:p>
          <w:p w14:paraId="56201C9F" w14:textId="77777777" w:rsidR="001565A7" w:rsidRPr="000B7AEF" w:rsidRDefault="001565A7" w:rsidP="000B7AEF">
            <w:pPr>
              <w:ind w:left="90"/>
              <w:jc w:val="center"/>
              <w:rPr>
                <w:rFonts w:eastAsia="Times New Roman" w:cs="Times New Roman"/>
                <w:b/>
                <w:bCs/>
                <w:sz w:val="20"/>
              </w:rPr>
            </w:pPr>
            <w:r w:rsidRPr="000B7AEF">
              <w:rPr>
                <w:rFonts w:eastAsia="Times New Roman" w:cs="Times New Roman"/>
                <w:b/>
                <w:bCs/>
                <w:sz w:val="20"/>
              </w:rPr>
              <w:t>(NTE)</w:t>
            </w:r>
          </w:p>
        </w:tc>
        <w:tc>
          <w:tcPr>
            <w:tcW w:w="1499" w:type="dxa"/>
            <w:vMerge/>
            <w:shd w:val="clear" w:color="auto" w:fill="D9D9D9"/>
            <w:hideMark/>
          </w:tcPr>
          <w:p w14:paraId="3A0724C1" w14:textId="77777777" w:rsidR="001565A7" w:rsidRPr="000B7AEF" w:rsidRDefault="001565A7" w:rsidP="000B7AEF">
            <w:pPr>
              <w:ind w:left="90"/>
              <w:rPr>
                <w:rFonts w:eastAsia="Times New Roman" w:cs="Times New Roman"/>
                <w:sz w:val="22"/>
                <w:szCs w:val="22"/>
              </w:rPr>
            </w:pPr>
          </w:p>
        </w:tc>
      </w:tr>
      <w:tr w:rsidR="001565A7" w:rsidRPr="000B7AEF" w14:paraId="26C85005" w14:textId="77777777" w:rsidTr="001565A7">
        <w:trPr>
          <w:trHeight w:val="390"/>
        </w:trPr>
        <w:tc>
          <w:tcPr>
            <w:tcW w:w="1328" w:type="dxa"/>
            <w:vAlign w:val="center"/>
          </w:tcPr>
          <w:p w14:paraId="335A1B99" w14:textId="291463E4" w:rsidR="001565A7" w:rsidRPr="000B7AEF" w:rsidDel="00E42197" w:rsidRDefault="001565A7" w:rsidP="002F6E70">
            <w:pPr>
              <w:jc w:val="right"/>
              <w:rPr>
                <w:rFonts w:eastAsia="Times New Roman"/>
                <w:sz w:val="22"/>
                <w:szCs w:val="22"/>
              </w:rPr>
            </w:pPr>
            <w:r w:rsidRPr="000B7AEF">
              <w:rPr>
                <w:rFonts w:eastAsia="Times New Roman"/>
                <w:sz w:val="22"/>
                <w:szCs w:val="22"/>
              </w:rPr>
              <w:t>$</w:t>
            </w:r>
            <w:r w:rsidR="002F6E70">
              <w:rPr>
                <w:rFonts w:eastAsia="Times New Roman"/>
                <w:sz w:val="22"/>
                <w:szCs w:val="22"/>
              </w:rPr>
              <w:t>1,0</w:t>
            </w:r>
            <w:r w:rsidR="002F6E70" w:rsidRPr="00772D1D">
              <w:rPr>
                <w:rFonts w:eastAsia="Times New Roman"/>
                <w:sz w:val="22"/>
                <w:szCs w:val="22"/>
              </w:rPr>
              <w:t>00</w:t>
            </w:r>
            <w:r w:rsidRPr="000B7AEF">
              <w:rPr>
                <w:rFonts w:eastAsia="Times New Roman"/>
                <w:sz w:val="22"/>
                <w:szCs w:val="22"/>
              </w:rPr>
              <w:t>,000</w:t>
            </w:r>
          </w:p>
        </w:tc>
        <w:tc>
          <w:tcPr>
            <w:tcW w:w="1254" w:type="dxa"/>
            <w:vAlign w:val="center"/>
          </w:tcPr>
          <w:p w14:paraId="22E182A4" w14:textId="77777777" w:rsidR="001565A7" w:rsidRPr="000B7AEF" w:rsidDel="00E42197" w:rsidRDefault="001565A7" w:rsidP="000B7AEF">
            <w:pPr>
              <w:jc w:val="right"/>
              <w:rPr>
                <w:rFonts w:eastAsia="Times New Roman"/>
                <w:sz w:val="22"/>
                <w:szCs w:val="22"/>
              </w:rPr>
            </w:pPr>
            <w:r w:rsidRPr="000B7AEF">
              <w:rPr>
                <w:rFonts w:eastAsia="Times New Roman"/>
                <w:sz w:val="22"/>
                <w:szCs w:val="22"/>
              </w:rPr>
              <w:t>24 mos.</w:t>
            </w:r>
          </w:p>
        </w:tc>
        <w:tc>
          <w:tcPr>
            <w:tcW w:w="1285" w:type="dxa"/>
            <w:vAlign w:val="center"/>
          </w:tcPr>
          <w:p w14:paraId="405DA10C" w14:textId="0E48F2C1" w:rsidR="001565A7" w:rsidRPr="000B7AEF" w:rsidDel="00E42197" w:rsidRDefault="001565A7" w:rsidP="002F6E70">
            <w:pPr>
              <w:jc w:val="right"/>
              <w:rPr>
                <w:rFonts w:eastAsia="Times New Roman"/>
                <w:sz w:val="22"/>
                <w:szCs w:val="22"/>
              </w:rPr>
            </w:pPr>
            <w:r w:rsidRPr="000B7AEF">
              <w:rPr>
                <w:rFonts w:eastAsia="Times New Roman"/>
                <w:sz w:val="22"/>
                <w:szCs w:val="22"/>
              </w:rPr>
              <w:t>$</w:t>
            </w:r>
            <w:r w:rsidR="002F6E70">
              <w:rPr>
                <w:rFonts w:eastAsia="Times New Roman"/>
                <w:sz w:val="22"/>
                <w:szCs w:val="22"/>
              </w:rPr>
              <w:t>5</w:t>
            </w:r>
            <w:r w:rsidR="002F6E70" w:rsidRPr="00772D1D">
              <w:rPr>
                <w:rFonts w:eastAsia="Times New Roman"/>
                <w:sz w:val="22"/>
                <w:szCs w:val="22"/>
              </w:rPr>
              <w:t>00</w:t>
            </w:r>
            <w:r w:rsidRPr="000B7AEF">
              <w:rPr>
                <w:rFonts w:eastAsia="Times New Roman"/>
                <w:sz w:val="22"/>
                <w:szCs w:val="22"/>
              </w:rPr>
              <w:t>,000</w:t>
            </w:r>
          </w:p>
        </w:tc>
        <w:tc>
          <w:tcPr>
            <w:tcW w:w="1285" w:type="dxa"/>
            <w:vAlign w:val="center"/>
          </w:tcPr>
          <w:p w14:paraId="62F83089" w14:textId="77777777" w:rsidR="001565A7" w:rsidRPr="000B7AEF" w:rsidDel="00E42197" w:rsidRDefault="001565A7" w:rsidP="000B7AEF">
            <w:pPr>
              <w:jc w:val="right"/>
              <w:rPr>
                <w:rFonts w:eastAsia="Times New Roman"/>
                <w:sz w:val="22"/>
                <w:szCs w:val="22"/>
              </w:rPr>
            </w:pPr>
            <w:r w:rsidRPr="000B7AEF">
              <w:rPr>
                <w:rFonts w:eastAsia="Times New Roman"/>
                <w:sz w:val="22"/>
                <w:szCs w:val="22"/>
              </w:rPr>
              <w:t>12 mos.</w:t>
            </w:r>
          </w:p>
        </w:tc>
        <w:tc>
          <w:tcPr>
            <w:tcW w:w="1499" w:type="dxa"/>
            <w:vAlign w:val="center"/>
          </w:tcPr>
          <w:p w14:paraId="529E87B0" w14:textId="47C92C25" w:rsidR="001565A7" w:rsidRPr="000B7AEF" w:rsidDel="00E42197" w:rsidRDefault="001565A7" w:rsidP="002F6E70">
            <w:pPr>
              <w:jc w:val="right"/>
              <w:rPr>
                <w:rFonts w:eastAsia="Times New Roman"/>
                <w:sz w:val="22"/>
                <w:szCs w:val="22"/>
              </w:rPr>
            </w:pPr>
            <w:r w:rsidRPr="000B7AEF">
              <w:rPr>
                <w:rFonts w:eastAsia="Times New Roman"/>
                <w:sz w:val="22"/>
                <w:szCs w:val="22"/>
              </w:rPr>
              <w:t>$1,</w:t>
            </w:r>
            <w:r w:rsidR="002F6E70">
              <w:rPr>
                <w:rFonts w:eastAsia="Times New Roman"/>
                <w:sz w:val="22"/>
                <w:szCs w:val="22"/>
              </w:rPr>
              <w:t>5</w:t>
            </w:r>
            <w:r w:rsidR="002F6E70" w:rsidRPr="000B7AEF">
              <w:rPr>
                <w:rFonts w:eastAsia="Times New Roman"/>
                <w:sz w:val="22"/>
                <w:szCs w:val="22"/>
              </w:rPr>
              <w:t>00</w:t>
            </w:r>
            <w:r w:rsidRPr="000B7AEF">
              <w:rPr>
                <w:rFonts w:eastAsia="Times New Roman"/>
                <w:sz w:val="22"/>
                <w:szCs w:val="22"/>
              </w:rPr>
              <w:t>,000</w:t>
            </w:r>
          </w:p>
        </w:tc>
      </w:tr>
    </w:tbl>
    <w:p w14:paraId="302C5152" w14:textId="77777777" w:rsidR="00215C0D" w:rsidRPr="00215C0D" w:rsidRDefault="00215C0D" w:rsidP="00772D1D">
      <w:pPr>
        <w:contextualSpacing/>
        <w:jc w:val="both"/>
        <w:rPr>
          <w:rFonts w:eastAsia="Times New Roman" w:cs="Times New Roman"/>
          <w:sz w:val="22"/>
        </w:rPr>
      </w:pPr>
    </w:p>
    <w:p w14:paraId="00C4E41F" w14:textId="77777777" w:rsidR="00A6683E" w:rsidRDefault="00E50664" w:rsidP="00F95D5D">
      <w:pPr>
        <w:numPr>
          <w:ilvl w:val="0"/>
          <w:numId w:val="3"/>
        </w:numPr>
        <w:ind w:left="360" w:firstLine="0"/>
        <w:contextualSpacing/>
        <w:jc w:val="both"/>
        <w:rPr>
          <w:rFonts w:eastAsia="Times New Roman" w:cs="Times New Roman"/>
          <w:sz w:val="22"/>
        </w:rPr>
      </w:pPr>
      <w:r w:rsidRPr="00E6680F">
        <w:rPr>
          <w:rFonts w:eastAsia="Times New Roman" w:cs="Times New Roman"/>
          <w:b/>
          <w:sz w:val="22"/>
        </w:rPr>
        <w:t>Company Commercialization Report (Volume 4)</w:t>
      </w:r>
      <w:r w:rsidRPr="00E6680F">
        <w:rPr>
          <w:rFonts w:eastAsia="Times New Roman" w:cs="Times New Roman"/>
          <w:sz w:val="22"/>
        </w:rPr>
        <w:t xml:space="preserve">. </w:t>
      </w:r>
      <w:r w:rsidR="00E6680F">
        <w:rPr>
          <w:rFonts w:eastAsia="Times New Roman" w:cs="Times New Roman"/>
          <w:sz w:val="22"/>
        </w:rPr>
        <w:t xml:space="preserve">As specified in DoD SBIR/STTR Program </w:t>
      </w:r>
    </w:p>
    <w:p w14:paraId="047D1E39" w14:textId="67AD5C90" w:rsidR="003A17D5" w:rsidRDefault="00E6680F" w:rsidP="00A6683E">
      <w:pPr>
        <w:ind w:left="360" w:firstLine="360"/>
        <w:contextualSpacing/>
        <w:jc w:val="both"/>
        <w:rPr>
          <w:rFonts w:eastAsia="Times New Roman" w:cs="Times New Roman"/>
          <w:sz w:val="22"/>
        </w:rPr>
      </w:pPr>
      <w:r>
        <w:rPr>
          <w:rFonts w:eastAsia="Times New Roman" w:cs="Times New Roman"/>
          <w:sz w:val="22"/>
        </w:rPr>
        <w:t>BAA section</w:t>
      </w:r>
      <w:r w:rsidR="00F95D5D">
        <w:rPr>
          <w:rFonts w:eastAsia="Times New Roman" w:cs="Times New Roman"/>
          <w:sz w:val="22"/>
        </w:rPr>
        <w:t xml:space="preserve"> 5.4(e).</w:t>
      </w:r>
    </w:p>
    <w:p w14:paraId="793A7794" w14:textId="77777777" w:rsidR="00FB7823" w:rsidRPr="00902646" w:rsidRDefault="00FB7823" w:rsidP="00FB7823">
      <w:pPr>
        <w:ind w:left="360"/>
        <w:contextualSpacing/>
        <w:jc w:val="both"/>
        <w:rPr>
          <w:rFonts w:eastAsia="Times New Roman" w:cs="Times New Roman"/>
          <w:sz w:val="22"/>
        </w:rPr>
      </w:pPr>
    </w:p>
    <w:p w14:paraId="2F387CD9" w14:textId="0DA2D490" w:rsidR="00215C0D" w:rsidRPr="00F77BDB" w:rsidRDefault="00215C0D" w:rsidP="00215C0D">
      <w:pPr>
        <w:numPr>
          <w:ilvl w:val="0"/>
          <w:numId w:val="3"/>
        </w:numPr>
        <w:ind w:left="720"/>
        <w:contextualSpacing/>
        <w:jc w:val="both"/>
        <w:rPr>
          <w:rFonts w:eastAsia="Times New Roman" w:cs="Times New Roman"/>
          <w:sz w:val="22"/>
        </w:rPr>
      </w:pPr>
      <w:r w:rsidRPr="00215C0D">
        <w:rPr>
          <w:rFonts w:eastAsia="Times New Roman" w:cs="Times New Roman"/>
          <w:b/>
          <w:sz w:val="22"/>
          <w:szCs w:val="24"/>
        </w:rPr>
        <w:t>Supporting Documents Volume (Volume 5)</w:t>
      </w:r>
      <w:r w:rsidRPr="00215C0D">
        <w:rPr>
          <w:rFonts w:eastAsia="Times New Roman" w:cs="Times New Roman"/>
          <w:sz w:val="22"/>
          <w:szCs w:val="24"/>
        </w:rPr>
        <w:t xml:space="preserve">. </w:t>
      </w:r>
      <w:r w:rsidR="00FF692F">
        <w:rPr>
          <w:rFonts w:eastAsia="Times New Roman" w:cs="Times New Roman"/>
          <w:sz w:val="22"/>
          <w:szCs w:val="24"/>
        </w:rPr>
        <w:t xml:space="preserve">The optional Volume 5 is provided for small businesses to submit additional documentation to support the Technical Proposal (Volume 2) and the Cost Volume (Volume 3). Volume 5 is available for use when submitting Phase I and Phase II proposals. A template for Volume is available on </w:t>
      </w:r>
      <w:hyperlink r:id="rId19" w:history="1">
        <w:r w:rsidR="00FF692F" w:rsidRPr="0005060C">
          <w:rPr>
            <w:rStyle w:val="Hyperlink"/>
            <w:rFonts w:eastAsia="Times New Roman" w:cs="Times New Roman"/>
            <w:sz w:val="22"/>
            <w:szCs w:val="24"/>
          </w:rPr>
          <w:t>https://navysbir.com/links_forms.htm</w:t>
        </w:r>
      </w:hyperlink>
      <w:r w:rsidR="00FF692F">
        <w:rPr>
          <w:rFonts w:eastAsia="Times New Roman" w:cs="Times New Roman"/>
          <w:sz w:val="22"/>
          <w:szCs w:val="24"/>
        </w:rPr>
        <w:t xml:space="preserve">. DON </w:t>
      </w:r>
      <w:r w:rsidR="00F77BDB">
        <w:rPr>
          <w:rFonts w:eastAsia="Times New Roman" w:cs="Times New Roman"/>
          <w:sz w:val="22"/>
          <w:szCs w:val="24"/>
        </w:rPr>
        <w:t xml:space="preserve">will not be using any of the information in Volume 5 during the evaluation. </w:t>
      </w:r>
    </w:p>
    <w:p w14:paraId="3AC14C50" w14:textId="24997527" w:rsidR="00F77BDB" w:rsidRDefault="00F77BDB" w:rsidP="00F77BDB">
      <w:pPr>
        <w:contextualSpacing/>
        <w:jc w:val="both"/>
        <w:rPr>
          <w:rFonts w:eastAsia="Times New Roman" w:cs="Times New Roman"/>
          <w:sz w:val="22"/>
        </w:rPr>
      </w:pPr>
    </w:p>
    <w:p w14:paraId="2E3015B6" w14:textId="3C536C52" w:rsidR="00F77BDB" w:rsidRDefault="00F77BDB" w:rsidP="00F77BDB">
      <w:pPr>
        <w:ind w:left="720"/>
        <w:contextualSpacing/>
        <w:jc w:val="both"/>
        <w:rPr>
          <w:rFonts w:eastAsia="Times New Roman" w:cs="Times New Roman"/>
          <w:sz w:val="22"/>
        </w:rPr>
      </w:pPr>
      <w:r>
        <w:rPr>
          <w:rFonts w:eastAsia="Times New Roman" w:cs="Times New Roman"/>
          <w:sz w:val="22"/>
        </w:rPr>
        <w:t>Note: Even if you are not providing documentation within Volume 5, DSIP will require you to respond to a “yes” or “no” question regarding the volume. Failure to respond may stop you from submitting and certifying your proposal.</w:t>
      </w:r>
    </w:p>
    <w:p w14:paraId="676F4840" w14:textId="77777777" w:rsidR="0018568A" w:rsidRPr="00215C0D" w:rsidRDefault="0018568A" w:rsidP="00F77BDB">
      <w:pPr>
        <w:ind w:left="720"/>
        <w:contextualSpacing/>
        <w:jc w:val="both"/>
        <w:rPr>
          <w:rFonts w:eastAsia="Times New Roman" w:cs="Times New Roman"/>
          <w:sz w:val="22"/>
        </w:rPr>
      </w:pPr>
    </w:p>
    <w:p w14:paraId="251A644E" w14:textId="6166E442" w:rsidR="00215C0D" w:rsidRPr="00215C0D" w:rsidRDefault="00215C0D" w:rsidP="00215C0D">
      <w:pPr>
        <w:numPr>
          <w:ilvl w:val="1"/>
          <w:numId w:val="1"/>
        </w:numPr>
        <w:ind w:left="1080"/>
        <w:contextualSpacing/>
        <w:jc w:val="both"/>
        <w:rPr>
          <w:rFonts w:eastAsia="Times New Roman" w:cs="Times New Roman"/>
          <w:sz w:val="22"/>
        </w:rPr>
      </w:pPr>
      <w:r w:rsidRPr="00215C0D">
        <w:rPr>
          <w:rFonts w:eastAsia="Times New Roman" w:cs="Times New Roman"/>
          <w:sz w:val="22"/>
          <w:szCs w:val="24"/>
        </w:rPr>
        <w:t xml:space="preserve">Letters of Support </w:t>
      </w:r>
      <w:r w:rsidR="00960612">
        <w:rPr>
          <w:rFonts w:eastAsia="Times New Roman" w:cs="Times New Roman"/>
          <w:sz w:val="22"/>
          <w:szCs w:val="24"/>
        </w:rPr>
        <w:t>relevant to this project</w:t>
      </w:r>
    </w:p>
    <w:p w14:paraId="0086C527" w14:textId="29D417A7" w:rsidR="00215C0D" w:rsidRPr="00215C0D" w:rsidRDefault="00215C0D" w:rsidP="00215C0D">
      <w:pPr>
        <w:numPr>
          <w:ilvl w:val="1"/>
          <w:numId w:val="3"/>
        </w:numPr>
        <w:ind w:left="1080"/>
        <w:contextualSpacing/>
        <w:jc w:val="both"/>
        <w:rPr>
          <w:rFonts w:eastAsia="Times New Roman" w:cs="Times New Roman"/>
          <w:sz w:val="22"/>
        </w:rPr>
      </w:pPr>
      <w:r w:rsidRPr="00215C0D">
        <w:rPr>
          <w:rFonts w:eastAsia="Times New Roman" w:cs="Times New Roman"/>
          <w:sz w:val="22"/>
          <w:szCs w:val="24"/>
        </w:rPr>
        <w:t xml:space="preserve">Additional Cost Information </w:t>
      </w:r>
    </w:p>
    <w:p w14:paraId="4D462137" w14:textId="7640CC2A" w:rsidR="00215C0D" w:rsidRPr="00215C0D" w:rsidRDefault="00960612" w:rsidP="00215C0D">
      <w:pPr>
        <w:numPr>
          <w:ilvl w:val="1"/>
          <w:numId w:val="3"/>
        </w:numPr>
        <w:ind w:left="1080"/>
        <w:contextualSpacing/>
        <w:jc w:val="both"/>
        <w:rPr>
          <w:rFonts w:eastAsia="Times New Roman" w:cs="Times New Roman"/>
          <w:sz w:val="22"/>
        </w:rPr>
      </w:pPr>
      <w:r>
        <w:rPr>
          <w:rFonts w:eastAsia="Times New Roman" w:cs="Times New Roman"/>
          <w:sz w:val="22"/>
          <w:szCs w:val="24"/>
        </w:rPr>
        <w:t xml:space="preserve">SBIR/STTR </w:t>
      </w:r>
      <w:r w:rsidR="00215C0D" w:rsidRPr="00215C0D">
        <w:rPr>
          <w:rFonts w:eastAsia="Times New Roman" w:cs="Times New Roman"/>
          <w:sz w:val="22"/>
          <w:szCs w:val="24"/>
        </w:rPr>
        <w:t>Funding Agreement Certification</w:t>
      </w:r>
    </w:p>
    <w:p w14:paraId="16750FBA" w14:textId="5B6E58CE" w:rsidR="00215C0D" w:rsidRPr="00215C0D" w:rsidRDefault="00215C0D" w:rsidP="00215C0D">
      <w:pPr>
        <w:numPr>
          <w:ilvl w:val="1"/>
          <w:numId w:val="3"/>
        </w:numPr>
        <w:ind w:left="1080"/>
        <w:contextualSpacing/>
        <w:jc w:val="both"/>
        <w:rPr>
          <w:rFonts w:eastAsia="Times New Roman" w:cs="Times New Roman"/>
          <w:sz w:val="22"/>
        </w:rPr>
      </w:pPr>
      <w:r w:rsidRPr="00215C0D">
        <w:rPr>
          <w:rFonts w:eastAsia="Times New Roman" w:cs="Times New Roman"/>
          <w:sz w:val="22"/>
          <w:szCs w:val="24"/>
        </w:rPr>
        <w:t>Technical Data Rights (Assertions</w:t>
      </w:r>
      <w:r w:rsidR="00E061C5">
        <w:rPr>
          <w:rFonts w:eastAsia="Times New Roman" w:cs="Times New Roman"/>
          <w:sz w:val="22"/>
          <w:szCs w:val="24"/>
        </w:rPr>
        <w:t>)</w:t>
      </w:r>
    </w:p>
    <w:p w14:paraId="41D29B68" w14:textId="6A3CBCD9" w:rsidR="00215C0D" w:rsidRPr="00AB635D" w:rsidRDefault="00215C0D" w:rsidP="00215C0D">
      <w:pPr>
        <w:numPr>
          <w:ilvl w:val="1"/>
          <w:numId w:val="3"/>
        </w:numPr>
        <w:ind w:left="1080"/>
        <w:contextualSpacing/>
        <w:jc w:val="both"/>
        <w:rPr>
          <w:rFonts w:eastAsia="Times New Roman" w:cs="Times New Roman"/>
          <w:sz w:val="22"/>
        </w:rPr>
      </w:pPr>
      <w:r w:rsidRPr="00215C0D">
        <w:rPr>
          <w:rFonts w:eastAsia="Times New Roman" w:cs="Times New Roman"/>
          <w:sz w:val="22"/>
          <w:szCs w:val="24"/>
        </w:rPr>
        <w:t>Allocation of Rights</w:t>
      </w:r>
      <w:r w:rsidR="00960612">
        <w:rPr>
          <w:rFonts w:eastAsia="Times New Roman" w:cs="Times New Roman"/>
          <w:sz w:val="22"/>
          <w:szCs w:val="24"/>
        </w:rPr>
        <w:t xml:space="preserve"> between </w:t>
      </w:r>
      <w:r w:rsidR="00BF27C1">
        <w:rPr>
          <w:rFonts w:eastAsia="Times New Roman" w:cs="Times New Roman"/>
          <w:sz w:val="22"/>
          <w:szCs w:val="24"/>
        </w:rPr>
        <w:t>P</w:t>
      </w:r>
      <w:r w:rsidR="00960612">
        <w:rPr>
          <w:rFonts w:eastAsia="Times New Roman" w:cs="Times New Roman"/>
          <w:sz w:val="22"/>
          <w:szCs w:val="24"/>
        </w:rPr>
        <w:t xml:space="preserve">rime and </w:t>
      </w:r>
      <w:r w:rsidR="00BF27C1">
        <w:rPr>
          <w:rFonts w:eastAsia="Times New Roman" w:cs="Times New Roman"/>
          <w:sz w:val="22"/>
          <w:szCs w:val="24"/>
        </w:rPr>
        <w:t>S</w:t>
      </w:r>
      <w:r w:rsidR="00960612">
        <w:rPr>
          <w:rFonts w:eastAsia="Times New Roman" w:cs="Times New Roman"/>
          <w:sz w:val="22"/>
          <w:szCs w:val="24"/>
        </w:rPr>
        <w:t>ubcontractor</w:t>
      </w:r>
    </w:p>
    <w:p w14:paraId="11408B62" w14:textId="565F2854" w:rsidR="00AB635D" w:rsidRDefault="00AB635D" w:rsidP="00AB635D">
      <w:pPr>
        <w:numPr>
          <w:ilvl w:val="1"/>
          <w:numId w:val="3"/>
        </w:numPr>
        <w:ind w:left="1080"/>
        <w:contextualSpacing/>
        <w:jc w:val="both"/>
        <w:rPr>
          <w:rFonts w:eastAsia="Times New Roman" w:cs="Times New Roman"/>
          <w:sz w:val="22"/>
          <w:szCs w:val="24"/>
        </w:rPr>
      </w:pPr>
      <w:r w:rsidRPr="00B448F9">
        <w:rPr>
          <w:rFonts w:eastAsia="Times New Roman" w:cs="Times New Roman"/>
          <w:sz w:val="22"/>
          <w:szCs w:val="24"/>
        </w:rPr>
        <w:t xml:space="preserve">Disclosure of Information (DFARS 252.204-7000) </w:t>
      </w:r>
    </w:p>
    <w:p w14:paraId="1B9B0745" w14:textId="5E0EE2E2" w:rsidR="006E3843" w:rsidRDefault="006E3843" w:rsidP="00AB635D">
      <w:pPr>
        <w:numPr>
          <w:ilvl w:val="1"/>
          <w:numId w:val="3"/>
        </w:numPr>
        <w:ind w:left="1080"/>
        <w:contextualSpacing/>
        <w:jc w:val="both"/>
        <w:rPr>
          <w:rFonts w:eastAsia="Times New Roman" w:cs="Times New Roman"/>
          <w:sz w:val="22"/>
          <w:szCs w:val="24"/>
        </w:rPr>
      </w:pPr>
      <w:r>
        <w:rPr>
          <w:rFonts w:eastAsia="Times New Roman" w:cs="Times New Roman"/>
          <w:sz w:val="22"/>
          <w:szCs w:val="24"/>
        </w:rPr>
        <w:t>Prior, Current, or Pending Support of Similar Proposals or Awards</w:t>
      </w:r>
    </w:p>
    <w:p w14:paraId="7C22DC0D" w14:textId="27294796" w:rsidR="006E3843" w:rsidRPr="00AB635D" w:rsidRDefault="006E3843" w:rsidP="00AB635D">
      <w:pPr>
        <w:numPr>
          <w:ilvl w:val="1"/>
          <w:numId w:val="3"/>
        </w:numPr>
        <w:ind w:left="1080"/>
        <w:contextualSpacing/>
        <w:jc w:val="both"/>
        <w:rPr>
          <w:rFonts w:eastAsia="Times New Roman" w:cs="Times New Roman"/>
          <w:sz w:val="22"/>
          <w:szCs w:val="24"/>
        </w:rPr>
      </w:pPr>
      <w:r>
        <w:rPr>
          <w:rFonts w:eastAsia="Times New Roman" w:cs="Times New Roman"/>
          <w:sz w:val="22"/>
          <w:szCs w:val="24"/>
        </w:rPr>
        <w:t>Foreign Citizens</w:t>
      </w:r>
    </w:p>
    <w:p w14:paraId="47A0AF2F" w14:textId="77777777" w:rsidR="00215C0D" w:rsidRDefault="00215C0D" w:rsidP="002D49AC">
      <w:pPr>
        <w:ind w:left="720"/>
        <w:jc w:val="both"/>
        <w:rPr>
          <w:sz w:val="22"/>
        </w:rPr>
      </w:pPr>
    </w:p>
    <w:p w14:paraId="7A6D8612" w14:textId="77777777" w:rsidR="002D49AC" w:rsidRDefault="000056BA" w:rsidP="002D49AC">
      <w:pPr>
        <w:ind w:left="720"/>
        <w:jc w:val="both"/>
        <w:rPr>
          <w:rFonts w:eastAsia="Times New Roman" w:cs="Times New Roman"/>
          <w:sz w:val="22"/>
          <w:szCs w:val="24"/>
        </w:rPr>
      </w:pPr>
      <w:r>
        <w:rPr>
          <w:rFonts w:eastAsia="Times New Roman" w:cs="Times New Roman"/>
          <w:sz w:val="22"/>
          <w:szCs w:val="24"/>
        </w:rPr>
        <w:t>NOTE: The</w:t>
      </w:r>
      <w:r w:rsidR="008B3F87">
        <w:rPr>
          <w:rFonts w:eastAsia="Times New Roman" w:cs="Times New Roman"/>
          <w:sz w:val="22"/>
          <w:szCs w:val="24"/>
        </w:rPr>
        <w:t xml:space="preserve"> i</w:t>
      </w:r>
      <w:r w:rsidR="002D49AC">
        <w:rPr>
          <w:rFonts w:eastAsia="Times New Roman" w:cs="Times New Roman"/>
          <w:sz w:val="22"/>
          <w:szCs w:val="24"/>
        </w:rPr>
        <w:t xml:space="preserve">nclusion of documents or information </w:t>
      </w:r>
      <w:r>
        <w:rPr>
          <w:rFonts w:eastAsia="Times New Roman" w:cs="Times New Roman"/>
          <w:sz w:val="22"/>
          <w:szCs w:val="24"/>
        </w:rPr>
        <w:t xml:space="preserve">other than that </w:t>
      </w:r>
      <w:r w:rsidR="002D49AC">
        <w:rPr>
          <w:rFonts w:eastAsia="Times New Roman" w:cs="Times New Roman"/>
          <w:sz w:val="22"/>
          <w:szCs w:val="24"/>
        </w:rPr>
        <w:t xml:space="preserve">listed </w:t>
      </w:r>
      <w:r>
        <w:rPr>
          <w:rFonts w:eastAsia="Times New Roman" w:cs="Times New Roman"/>
          <w:sz w:val="22"/>
          <w:szCs w:val="24"/>
        </w:rPr>
        <w:t xml:space="preserve">above </w:t>
      </w:r>
      <w:r w:rsidR="002D49AC">
        <w:rPr>
          <w:rFonts w:eastAsia="Times New Roman" w:cs="Times New Roman"/>
          <w:sz w:val="22"/>
          <w:szCs w:val="24"/>
        </w:rPr>
        <w:t xml:space="preserve">(e.g., resumes, test data, </w:t>
      </w:r>
      <w:r>
        <w:rPr>
          <w:rFonts w:eastAsia="Times New Roman" w:cs="Times New Roman"/>
          <w:sz w:val="22"/>
          <w:szCs w:val="24"/>
        </w:rPr>
        <w:t xml:space="preserve">technical reports, </w:t>
      </w:r>
      <w:r w:rsidR="002D49AC">
        <w:rPr>
          <w:rFonts w:eastAsia="Times New Roman" w:cs="Times New Roman"/>
          <w:sz w:val="22"/>
          <w:szCs w:val="24"/>
        </w:rPr>
        <w:t xml:space="preserve">publications) may result in </w:t>
      </w:r>
      <w:r>
        <w:rPr>
          <w:rFonts w:eastAsia="Times New Roman" w:cs="Times New Roman"/>
          <w:sz w:val="22"/>
          <w:szCs w:val="24"/>
        </w:rPr>
        <w:t xml:space="preserve">the </w:t>
      </w:r>
      <w:r w:rsidR="002D49AC">
        <w:rPr>
          <w:rFonts w:eastAsia="Times New Roman" w:cs="Times New Roman"/>
          <w:sz w:val="22"/>
          <w:szCs w:val="24"/>
        </w:rPr>
        <w:t xml:space="preserve">proposal being </w:t>
      </w:r>
      <w:r>
        <w:rPr>
          <w:rFonts w:eastAsia="Times New Roman" w:cs="Times New Roman"/>
          <w:sz w:val="22"/>
          <w:szCs w:val="24"/>
        </w:rPr>
        <w:t xml:space="preserve">deemed “Non-compliant” and </w:t>
      </w:r>
      <w:r w:rsidR="002D49AC">
        <w:rPr>
          <w:rFonts w:eastAsia="Times New Roman" w:cs="Times New Roman"/>
          <w:sz w:val="22"/>
          <w:szCs w:val="24"/>
        </w:rPr>
        <w:t>REJECTED.</w:t>
      </w:r>
    </w:p>
    <w:p w14:paraId="56BD653C" w14:textId="77777777" w:rsidR="002D49AC" w:rsidRPr="00215C0D" w:rsidRDefault="002D49AC" w:rsidP="002D49AC">
      <w:pPr>
        <w:ind w:left="720"/>
        <w:jc w:val="both"/>
        <w:rPr>
          <w:sz w:val="22"/>
        </w:rPr>
      </w:pPr>
    </w:p>
    <w:p w14:paraId="3AE1A303" w14:textId="65661D2C" w:rsidR="00215C0D" w:rsidRPr="00215C0D" w:rsidRDefault="00215C0D" w:rsidP="00215C0D">
      <w:pPr>
        <w:ind w:left="720"/>
        <w:jc w:val="both"/>
        <w:rPr>
          <w:sz w:val="22"/>
        </w:rPr>
      </w:pPr>
      <w:r w:rsidRPr="00215C0D">
        <w:rPr>
          <w:sz w:val="22"/>
        </w:rPr>
        <w:t xml:space="preserve">A font size smaller than 10-point is allowable for documents in Volume 5; however, proposers are cautioned that the text may be unreadable. </w:t>
      </w:r>
    </w:p>
    <w:p w14:paraId="7D37795C" w14:textId="77777777" w:rsidR="00215C0D" w:rsidRPr="00215C0D" w:rsidRDefault="00215C0D" w:rsidP="00215C0D">
      <w:pPr>
        <w:ind w:left="720"/>
        <w:jc w:val="both"/>
        <w:rPr>
          <w:color w:val="FF0000"/>
          <w:sz w:val="22"/>
        </w:rPr>
      </w:pPr>
    </w:p>
    <w:p w14:paraId="5437C55E" w14:textId="77777777" w:rsidR="00215C0D" w:rsidRPr="00215C0D" w:rsidRDefault="00215C0D" w:rsidP="00215C0D">
      <w:pPr>
        <w:numPr>
          <w:ilvl w:val="0"/>
          <w:numId w:val="3"/>
        </w:numPr>
        <w:ind w:left="720"/>
        <w:contextualSpacing/>
        <w:jc w:val="both"/>
        <w:rPr>
          <w:color w:val="FF0000"/>
          <w:sz w:val="22"/>
        </w:rPr>
      </w:pPr>
      <w:r w:rsidRPr="00215C0D">
        <w:rPr>
          <w:rFonts w:eastAsia="Times New Roman" w:cs="Times New Roman"/>
          <w:b/>
          <w:sz w:val="22"/>
          <w:szCs w:val="24"/>
        </w:rPr>
        <w:t>Fraud, Waste and Abuse Training Certification (Volume 6)</w:t>
      </w:r>
      <w:r w:rsidRPr="00215C0D">
        <w:rPr>
          <w:rFonts w:eastAsia="Times New Roman" w:cs="Times New Roman"/>
          <w:sz w:val="22"/>
          <w:szCs w:val="24"/>
        </w:rPr>
        <w:t>. DoD has implemented the optional Fraud, Waste and Abuse Training Certification (Volume 6). DON does not require evidence of Fraud, Waste and Abuse Training at the time of proposal submission. Therefore, DON will not require proposers to use Volume 6.</w:t>
      </w:r>
    </w:p>
    <w:p w14:paraId="7A9B863B" w14:textId="77777777" w:rsidR="00215C0D" w:rsidRPr="00215C0D" w:rsidRDefault="00215C0D" w:rsidP="00215C0D">
      <w:pPr>
        <w:jc w:val="both"/>
        <w:rPr>
          <w:color w:val="FF0000"/>
          <w:sz w:val="22"/>
        </w:rPr>
      </w:pPr>
    </w:p>
    <w:p w14:paraId="3B797288" w14:textId="1E7909B6" w:rsidR="00215C0D" w:rsidRPr="00215C0D" w:rsidRDefault="00215C0D" w:rsidP="00215C0D">
      <w:pPr>
        <w:spacing w:after="60"/>
        <w:jc w:val="both"/>
        <w:rPr>
          <w:b/>
          <w:sz w:val="22"/>
        </w:rPr>
      </w:pPr>
      <w:r w:rsidRPr="00215C0D">
        <w:rPr>
          <w:b/>
          <w:sz w:val="22"/>
        </w:rPr>
        <w:t xml:space="preserve">DON SBIR PHASE I </w:t>
      </w:r>
      <w:r w:rsidR="006C4C5C">
        <w:rPr>
          <w:b/>
          <w:sz w:val="22"/>
        </w:rPr>
        <w:t xml:space="preserve">FEASIBILITY </w:t>
      </w:r>
      <w:r w:rsidRPr="00215C0D">
        <w:rPr>
          <w:b/>
          <w:sz w:val="22"/>
        </w:rPr>
        <w:t>PROPOSAL SUBMISSION CHECKLIST</w:t>
      </w:r>
    </w:p>
    <w:p w14:paraId="3D2B90DE" w14:textId="77777777" w:rsidR="00215C0D" w:rsidRPr="00215C0D" w:rsidRDefault="00215C0D" w:rsidP="00215C0D">
      <w:pPr>
        <w:numPr>
          <w:ilvl w:val="0"/>
          <w:numId w:val="4"/>
        </w:numPr>
        <w:contextualSpacing/>
        <w:jc w:val="both"/>
        <w:rPr>
          <w:rFonts w:eastAsia="Times New Roman" w:cs="Times New Roman"/>
          <w:sz w:val="22"/>
        </w:rPr>
      </w:pPr>
      <w:r w:rsidRPr="00215C0D">
        <w:rPr>
          <w:rFonts w:eastAsia="Times New Roman" w:cs="Times New Roman"/>
          <w:b/>
          <w:sz w:val="22"/>
        </w:rPr>
        <w:t xml:space="preserve">Subcontractor, Material, and Travel Cost Detail. </w:t>
      </w:r>
      <w:r w:rsidRPr="00215C0D">
        <w:rPr>
          <w:rFonts w:eastAsia="Times New Roman" w:cs="Times New Roman"/>
          <w:sz w:val="22"/>
        </w:rPr>
        <w:t>In the</w:t>
      </w:r>
      <w:r w:rsidRPr="00215C0D">
        <w:rPr>
          <w:rFonts w:eastAsia="Times New Roman" w:cs="Times New Roman"/>
          <w:b/>
          <w:sz w:val="22"/>
        </w:rPr>
        <w:t xml:space="preserve"> </w:t>
      </w:r>
      <w:r w:rsidRPr="00215C0D">
        <w:rPr>
          <w:rFonts w:eastAsia="Times New Roman" w:cs="Times New Roman"/>
          <w:sz w:val="22"/>
        </w:rPr>
        <w:t>Cost Volume (Volume 3), proposers must provide sufficient detail for subcontractor, material and travel costs. Enter this information in the “Explanatory Material” field in the online DoD Volume 3. Subcontractor costs must be detailed to the same level as the prime contractor. Material costs must include a listing of items and cost per item. Travel costs must include the purpose of the trip, number of trips, location, length of trip, and number of personnel. When a proposal is selected for award, be prepared to submit further documentation to the SYSCOM Contracting Officer to substantiate costs (e.g., an explanation of cost estimates for equipment, materials, and consultants or subcontractors).</w:t>
      </w:r>
      <w:r w:rsidRPr="00215C0D" w:rsidDel="00193B6E">
        <w:rPr>
          <w:rFonts w:eastAsia="Times New Roman" w:cs="Times New Roman"/>
          <w:sz w:val="22"/>
        </w:rPr>
        <w:t xml:space="preserve"> </w:t>
      </w:r>
    </w:p>
    <w:p w14:paraId="4B6156BC" w14:textId="77777777" w:rsidR="00215C0D" w:rsidRPr="00215C0D" w:rsidRDefault="00215C0D" w:rsidP="00215C0D">
      <w:pPr>
        <w:ind w:left="720"/>
        <w:contextualSpacing/>
        <w:jc w:val="both"/>
        <w:rPr>
          <w:rFonts w:eastAsia="Times New Roman" w:cs="Times New Roman"/>
          <w:sz w:val="22"/>
        </w:rPr>
      </w:pPr>
    </w:p>
    <w:p w14:paraId="70494C13" w14:textId="77777777" w:rsidR="00215C0D" w:rsidRPr="00215C0D" w:rsidRDefault="00215C0D" w:rsidP="00215C0D">
      <w:pPr>
        <w:numPr>
          <w:ilvl w:val="0"/>
          <w:numId w:val="4"/>
        </w:numPr>
        <w:contextualSpacing/>
        <w:jc w:val="both"/>
        <w:rPr>
          <w:rFonts w:eastAsia="Times New Roman" w:cs="Times New Roman"/>
          <w:b/>
          <w:sz w:val="22"/>
        </w:rPr>
      </w:pPr>
      <w:r w:rsidRPr="00215C0D">
        <w:rPr>
          <w:rFonts w:eastAsia="Times New Roman" w:cs="Times New Roman"/>
          <w:b/>
          <w:sz w:val="22"/>
        </w:rPr>
        <w:t xml:space="preserve">Performance Benchmarks. </w:t>
      </w:r>
      <w:r w:rsidRPr="00215C0D">
        <w:rPr>
          <w:rFonts w:eastAsia="Times New Roman" w:cs="Times New Roman"/>
          <w:sz w:val="22"/>
        </w:rPr>
        <w:t>Proposers must meet the two benchmark requirements for progress toward Commercialization as determined by the Small Business Administration (SBA) on June 1 each year. Please note that the DON applies performance benchmarks at time of proposal submission, not at time of contract award.</w:t>
      </w:r>
      <w:r w:rsidRPr="00215C0D">
        <w:rPr>
          <w:rFonts w:eastAsia="Times New Roman" w:cs="Times New Roman"/>
          <w:b/>
          <w:sz w:val="22"/>
        </w:rPr>
        <w:t xml:space="preserve"> </w:t>
      </w:r>
    </w:p>
    <w:p w14:paraId="46F876AE" w14:textId="77777777" w:rsidR="00215C0D" w:rsidRPr="00215C0D" w:rsidRDefault="00215C0D" w:rsidP="00215C0D">
      <w:pPr>
        <w:jc w:val="both"/>
        <w:rPr>
          <w:sz w:val="22"/>
        </w:rPr>
      </w:pPr>
    </w:p>
    <w:p w14:paraId="11F41D74" w14:textId="18BEE7B6" w:rsidR="00B36FB7" w:rsidRPr="0021156D" w:rsidRDefault="00215C0D" w:rsidP="0021156D">
      <w:pPr>
        <w:pStyle w:val="ListParagraph"/>
        <w:numPr>
          <w:ilvl w:val="0"/>
          <w:numId w:val="32"/>
        </w:numPr>
        <w:spacing w:after="60"/>
        <w:jc w:val="both"/>
        <w:rPr>
          <w:sz w:val="22"/>
        </w:rPr>
      </w:pPr>
      <w:r w:rsidRPr="0021156D">
        <w:rPr>
          <w:b/>
          <w:sz w:val="22"/>
        </w:rPr>
        <w:t xml:space="preserve">Discretionary Technical </w:t>
      </w:r>
      <w:r w:rsidR="006C4015" w:rsidRPr="0021156D">
        <w:rPr>
          <w:b/>
          <w:sz w:val="22"/>
        </w:rPr>
        <w:t xml:space="preserve">and Business </w:t>
      </w:r>
      <w:r w:rsidRPr="0021156D">
        <w:rPr>
          <w:b/>
          <w:sz w:val="22"/>
        </w:rPr>
        <w:t>Assistance (</w:t>
      </w:r>
      <w:r w:rsidR="006C4015" w:rsidRPr="0021156D">
        <w:rPr>
          <w:b/>
          <w:sz w:val="22"/>
        </w:rPr>
        <w:t>TABA</w:t>
      </w:r>
      <w:r w:rsidRPr="0021156D">
        <w:rPr>
          <w:b/>
          <w:sz w:val="22"/>
        </w:rPr>
        <w:t>).</w:t>
      </w:r>
      <w:r w:rsidRPr="0021156D">
        <w:rPr>
          <w:sz w:val="22"/>
        </w:rPr>
        <w:t xml:space="preserve"> If </w:t>
      </w:r>
      <w:r w:rsidR="006C4015" w:rsidRPr="0021156D">
        <w:rPr>
          <w:sz w:val="22"/>
        </w:rPr>
        <w:t xml:space="preserve">TABA </w:t>
      </w:r>
      <w:r w:rsidRPr="0021156D">
        <w:rPr>
          <w:sz w:val="22"/>
        </w:rPr>
        <w:t xml:space="preserve">is proposed, the information required to support </w:t>
      </w:r>
      <w:r w:rsidR="006C4015" w:rsidRPr="0021156D">
        <w:rPr>
          <w:sz w:val="22"/>
        </w:rPr>
        <w:t xml:space="preserve">TABA </w:t>
      </w:r>
      <w:r w:rsidRPr="0021156D">
        <w:rPr>
          <w:sz w:val="22"/>
        </w:rPr>
        <w:t xml:space="preserve">(as specified in the </w:t>
      </w:r>
      <w:r w:rsidR="006C4015" w:rsidRPr="0021156D">
        <w:rPr>
          <w:sz w:val="22"/>
        </w:rPr>
        <w:t xml:space="preserve">TABA </w:t>
      </w:r>
      <w:r w:rsidRPr="0021156D">
        <w:rPr>
          <w:sz w:val="22"/>
        </w:rPr>
        <w:t xml:space="preserve">section below) must be added in the “Explanatory Material” field of the online DoD Volume 3. If the supporting information </w:t>
      </w:r>
      <w:r w:rsidRPr="0021156D">
        <w:rPr>
          <w:sz w:val="22"/>
        </w:rPr>
        <w:lastRenderedPageBreak/>
        <w:t xml:space="preserve">exceeds the character limits of the Explanatory Material field of Volume 3, this information must be included in Volume 5 as “Additional Cost Information” as noted above. Failure to add the required information in the online DoD Volume 3 and, if necessary, Volume 5 will result in the denial of </w:t>
      </w:r>
      <w:r w:rsidR="006C4015" w:rsidRPr="0021156D">
        <w:rPr>
          <w:sz w:val="22"/>
        </w:rPr>
        <w:t>TABA</w:t>
      </w:r>
      <w:r w:rsidRPr="0021156D">
        <w:rPr>
          <w:sz w:val="22"/>
        </w:rPr>
        <w:t xml:space="preserve">. </w:t>
      </w:r>
      <w:r w:rsidR="006C4015" w:rsidRPr="0021156D">
        <w:rPr>
          <w:sz w:val="22"/>
        </w:rPr>
        <w:t xml:space="preserve">TABA </w:t>
      </w:r>
      <w:r w:rsidR="00305DFB" w:rsidRPr="0021156D">
        <w:rPr>
          <w:sz w:val="22"/>
        </w:rPr>
        <w:t xml:space="preserve">may be proposed for a </w:t>
      </w:r>
      <w:r w:rsidR="0014557F" w:rsidRPr="0021156D">
        <w:rPr>
          <w:sz w:val="22"/>
        </w:rPr>
        <w:t>DP2</w:t>
      </w:r>
      <w:r w:rsidR="00305DFB" w:rsidRPr="0021156D">
        <w:rPr>
          <w:sz w:val="22"/>
        </w:rPr>
        <w:t xml:space="preserve"> effort</w:t>
      </w:r>
      <w:r w:rsidRPr="0021156D">
        <w:rPr>
          <w:sz w:val="22"/>
        </w:rPr>
        <w:t xml:space="preserve">, but </w:t>
      </w:r>
      <w:r w:rsidR="00305DFB" w:rsidRPr="0021156D">
        <w:rPr>
          <w:sz w:val="22"/>
        </w:rPr>
        <w:t>the total value may not exceed $</w:t>
      </w:r>
      <w:r w:rsidR="000D344E" w:rsidRPr="0021156D">
        <w:rPr>
          <w:sz w:val="22"/>
        </w:rPr>
        <w:t>2</w:t>
      </w:r>
      <w:r w:rsidR="00305DFB" w:rsidRPr="0021156D">
        <w:rPr>
          <w:sz w:val="22"/>
        </w:rPr>
        <w:t xml:space="preserve">5,000 </w:t>
      </w:r>
      <w:r w:rsidR="000D344E" w:rsidRPr="0021156D">
        <w:rPr>
          <w:sz w:val="22"/>
        </w:rPr>
        <w:t>under this</w:t>
      </w:r>
      <w:r w:rsidR="00B36FB7" w:rsidRPr="0021156D">
        <w:rPr>
          <w:sz w:val="22"/>
        </w:rPr>
        <w:t xml:space="preserve"> </w:t>
      </w:r>
      <w:r w:rsidR="0014557F" w:rsidRPr="0021156D">
        <w:rPr>
          <w:sz w:val="22"/>
        </w:rPr>
        <w:t>DP2</w:t>
      </w:r>
      <w:r w:rsidR="00305DFB" w:rsidRPr="0021156D">
        <w:rPr>
          <w:sz w:val="22"/>
        </w:rPr>
        <w:t xml:space="preserve"> contract</w:t>
      </w:r>
      <w:r w:rsidR="00B36FB7" w:rsidRPr="0021156D">
        <w:rPr>
          <w:sz w:val="22"/>
        </w:rPr>
        <w:t>.</w:t>
      </w:r>
    </w:p>
    <w:p w14:paraId="762C4E6F" w14:textId="77777777" w:rsidR="00B36FB7" w:rsidRDefault="00B36FB7" w:rsidP="00215C0D">
      <w:pPr>
        <w:spacing w:after="60"/>
        <w:jc w:val="both"/>
        <w:rPr>
          <w:rFonts w:eastAsia="Times New Roman" w:cs="Times New Roman"/>
          <w:sz w:val="22"/>
        </w:rPr>
      </w:pPr>
    </w:p>
    <w:p w14:paraId="63083162" w14:textId="5A5E7E9E" w:rsidR="00215C0D" w:rsidRPr="00215C0D" w:rsidRDefault="00215C0D" w:rsidP="00215C0D">
      <w:pPr>
        <w:spacing w:after="60"/>
        <w:jc w:val="both"/>
        <w:rPr>
          <w:b/>
          <w:sz w:val="22"/>
        </w:rPr>
      </w:pPr>
      <w:r w:rsidRPr="00215C0D">
        <w:rPr>
          <w:b/>
          <w:sz w:val="22"/>
        </w:rPr>
        <w:t xml:space="preserve">DISCRETIONARY TECHNICAL </w:t>
      </w:r>
      <w:r w:rsidR="006C4015">
        <w:rPr>
          <w:b/>
          <w:sz w:val="22"/>
        </w:rPr>
        <w:t xml:space="preserve">AND BUSINESS </w:t>
      </w:r>
      <w:r w:rsidRPr="00215C0D">
        <w:rPr>
          <w:b/>
          <w:sz w:val="22"/>
        </w:rPr>
        <w:t>ASSISTANCE (</w:t>
      </w:r>
      <w:r w:rsidR="006C4015">
        <w:rPr>
          <w:b/>
          <w:sz w:val="22"/>
        </w:rPr>
        <w:t>TABA</w:t>
      </w:r>
      <w:r w:rsidRPr="00215C0D">
        <w:rPr>
          <w:b/>
          <w:sz w:val="22"/>
        </w:rPr>
        <w:t xml:space="preserve">) </w:t>
      </w:r>
    </w:p>
    <w:p w14:paraId="6B208FE8" w14:textId="5D21C0A7" w:rsidR="00215C0D" w:rsidRPr="00215C0D" w:rsidRDefault="00215C0D" w:rsidP="00BB0698">
      <w:pPr>
        <w:tabs>
          <w:tab w:val="left" w:pos="4500"/>
        </w:tabs>
        <w:jc w:val="both"/>
        <w:rPr>
          <w:sz w:val="22"/>
        </w:rPr>
      </w:pPr>
      <w:r w:rsidRPr="00215C0D">
        <w:rPr>
          <w:sz w:val="22"/>
        </w:rPr>
        <w:t xml:space="preserve">The SBIR Policy Directive section 9(b) allows the DON to provide </w:t>
      </w:r>
      <w:r w:rsidR="006C4015">
        <w:rPr>
          <w:sz w:val="22"/>
        </w:rPr>
        <w:t xml:space="preserve">TABA (formerly referred to as </w:t>
      </w:r>
      <w:r w:rsidRPr="00215C0D">
        <w:rPr>
          <w:sz w:val="22"/>
        </w:rPr>
        <w:t>DTA</w:t>
      </w:r>
      <w:r w:rsidR="006C4015">
        <w:rPr>
          <w:sz w:val="22"/>
        </w:rPr>
        <w:t>)</w:t>
      </w:r>
      <w:r w:rsidRPr="00215C0D">
        <w:rPr>
          <w:sz w:val="22"/>
        </w:rPr>
        <w:t xml:space="preserve"> to its awardees</w:t>
      </w:r>
      <w:r w:rsidR="00305DFB">
        <w:rPr>
          <w:sz w:val="22"/>
        </w:rPr>
        <w:t>. The purpose of TABA is</w:t>
      </w:r>
      <w:r w:rsidRPr="00215C0D">
        <w:rPr>
          <w:sz w:val="22"/>
        </w:rPr>
        <w:t xml:space="preserve"> to assist </w:t>
      </w:r>
      <w:r w:rsidR="00305DFB">
        <w:rPr>
          <w:sz w:val="22"/>
        </w:rPr>
        <w:t xml:space="preserve">awardees in making better </w:t>
      </w:r>
      <w:r w:rsidRPr="00215C0D">
        <w:rPr>
          <w:sz w:val="22"/>
        </w:rPr>
        <w:t xml:space="preserve">technical </w:t>
      </w:r>
      <w:r w:rsidR="00305DFB">
        <w:rPr>
          <w:sz w:val="22"/>
        </w:rPr>
        <w:t xml:space="preserve">decisions on SBIR/STTR projects; solving technical problems that arise during SBIR/STTR projects; minimizing technical risks associated with SBIR/STTR projects; and commercializing the SBIR/STTR product or process, including intellectual property protections. </w:t>
      </w:r>
      <w:r w:rsidRPr="00215C0D">
        <w:rPr>
          <w:sz w:val="22"/>
        </w:rPr>
        <w:t>Firms may request</w:t>
      </w:r>
      <w:r w:rsidR="00AC1A3F">
        <w:rPr>
          <w:sz w:val="22"/>
        </w:rPr>
        <w:t xml:space="preserve"> </w:t>
      </w:r>
      <w:r w:rsidRPr="00215C0D">
        <w:rPr>
          <w:sz w:val="22"/>
        </w:rPr>
        <w:t xml:space="preserve">to contract these services themselves </w:t>
      </w:r>
      <w:r w:rsidR="001510C1">
        <w:rPr>
          <w:sz w:val="22"/>
        </w:rPr>
        <w:t xml:space="preserve">through one or more </w:t>
      </w:r>
      <w:r w:rsidR="0020707F">
        <w:rPr>
          <w:sz w:val="22"/>
        </w:rPr>
        <w:t>TABA provider</w:t>
      </w:r>
      <w:r w:rsidR="00491E35">
        <w:rPr>
          <w:sz w:val="22"/>
        </w:rPr>
        <w:t>s</w:t>
      </w:r>
      <w:r w:rsidR="001510C1">
        <w:rPr>
          <w:sz w:val="22"/>
        </w:rPr>
        <w:t xml:space="preserve"> </w:t>
      </w:r>
      <w:r w:rsidRPr="00215C0D">
        <w:rPr>
          <w:sz w:val="22"/>
        </w:rPr>
        <w:t xml:space="preserve">in an amount not to exceed the values specified below. </w:t>
      </w:r>
      <w:r w:rsidR="00BB0698">
        <w:rPr>
          <w:sz w:val="22"/>
        </w:rPr>
        <w:t>The</w:t>
      </w:r>
      <w:r w:rsidR="00BB0698" w:rsidRPr="00215C0D">
        <w:rPr>
          <w:sz w:val="22"/>
        </w:rPr>
        <w:t xml:space="preserve"> </w:t>
      </w:r>
      <w:r w:rsidR="00BB0698">
        <w:rPr>
          <w:sz w:val="22"/>
        </w:rPr>
        <w:t>Phase II TABA amount is up to $25,000 per award. The TABA amount, of up to $25,000</w:t>
      </w:r>
      <w:r w:rsidR="0014557F">
        <w:rPr>
          <w:sz w:val="22"/>
        </w:rPr>
        <w:t>,</w:t>
      </w:r>
      <w:r w:rsidR="00BB0698">
        <w:rPr>
          <w:sz w:val="22"/>
        </w:rPr>
        <w:t xml:space="preserve"> is to be included as part of the award amount and is limited by the established award values for Phase II by the SYSCOM</w:t>
      </w:r>
      <w:r w:rsidR="000D344E">
        <w:rPr>
          <w:sz w:val="22"/>
        </w:rPr>
        <w:t xml:space="preserve"> (i.e. within the $1,</w:t>
      </w:r>
      <w:r w:rsidR="003126ED">
        <w:rPr>
          <w:sz w:val="22"/>
        </w:rPr>
        <w:t>7</w:t>
      </w:r>
      <w:r w:rsidR="00BB0698">
        <w:rPr>
          <w:sz w:val="22"/>
        </w:rPr>
        <w:t>00,000 or lower limit specified by the SYSCOM).</w:t>
      </w:r>
      <w:r w:rsidR="000D344E">
        <w:rPr>
          <w:sz w:val="22"/>
        </w:rPr>
        <w:t xml:space="preserve"> T</w:t>
      </w:r>
      <w:r w:rsidR="00BB0698">
        <w:rPr>
          <w:sz w:val="22"/>
        </w:rPr>
        <w:t>he amount proposed for TABA cannot include any profit/fee application by the SBIR/STTR awardee and must be inclusive of all applicable indirect costs. A Phase II project may receive up to an additional $25,000 for TABA as part of one additional (</w:t>
      </w:r>
      <w:r w:rsidR="001A6C1A">
        <w:rPr>
          <w:sz w:val="22"/>
        </w:rPr>
        <w:t>sequential</w:t>
      </w:r>
      <w:r w:rsidR="00BB0698">
        <w:rPr>
          <w:sz w:val="22"/>
        </w:rPr>
        <w:t xml:space="preserve">) Phase II award under the project for a total TABA award of up to $50,000 per project. </w:t>
      </w:r>
    </w:p>
    <w:p w14:paraId="5CE53DE4" w14:textId="77777777" w:rsidR="0014557F" w:rsidRDefault="0014557F" w:rsidP="00215C0D">
      <w:pPr>
        <w:jc w:val="both"/>
        <w:rPr>
          <w:sz w:val="22"/>
        </w:rPr>
      </w:pPr>
    </w:p>
    <w:p w14:paraId="5B3D9504" w14:textId="77777777" w:rsidR="00215C0D" w:rsidRPr="00215C0D" w:rsidRDefault="00215C0D" w:rsidP="00215C0D">
      <w:pPr>
        <w:jc w:val="both"/>
        <w:rPr>
          <w:b/>
          <w:sz w:val="22"/>
        </w:rPr>
      </w:pPr>
      <w:r w:rsidRPr="00215C0D">
        <w:rPr>
          <w:sz w:val="22"/>
        </w:rPr>
        <w:t xml:space="preserve">Approval of direct funding for </w:t>
      </w:r>
      <w:r w:rsidR="001510C1">
        <w:rPr>
          <w:sz w:val="22"/>
        </w:rPr>
        <w:t>TABA</w:t>
      </w:r>
      <w:r w:rsidR="001510C1" w:rsidRPr="00215C0D">
        <w:rPr>
          <w:sz w:val="22"/>
        </w:rPr>
        <w:t xml:space="preserve"> </w:t>
      </w:r>
      <w:r w:rsidRPr="00215C0D">
        <w:rPr>
          <w:sz w:val="22"/>
        </w:rPr>
        <w:t xml:space="preserve">will be evaluated by the DON SBIR/STTR Program Office. A detailed request for </w:t>
      </w:r>
      <w:r w:rsidR="001510C1">
        <w:rPr>
          <w:sz w:val="22"/>
        </w:rPr>
        <w:t>TABA</w:t>
      </w:r>
      <w:r w:rsidR="001510C1" w:rsidRPr="00215C0D">
        <w:rPr>
          <w:sz w:val="22"/>
        </w:rPr>
        <w:t xml:space="preserve"> </w:t>
      </w:r>
      <w:r w:rsidRPr="00215C0D">
        <w:rPr>
          <w:sz w:val="22"/>
        </w:rPr>
        <w:t>must include:</w:t>
      </w:r>
    </w:p>
    <w:p w14:paraId="648A9D48" w14:textId="6ED2D25B" w:rsidR="00215C0D" w:rsidRPr="00215C0D" w:rsidRDefault="001510C1" w:rsidP="00215C0D">
      <w:pPr>
        <w:numPr>
          <w:ilvl w:val="0"/>
          <w:numId w:val="1"/>
        </w:numPr>
        <w:ind w:left="720"/>
        <w:contextualSpacing/>
        <w:jc w:val="both"/>
        <w:rPr>
          <w:rFonts w:eastAsia="Times New Roman" w:cs="Times New Roman"/>
          <w:sz w:val="22"/>
        </w:rPr>
      </w:pPr>
      <w:r>
        <w:rPr>
          <w:rFonts w:eastAsia="Times New Roman" w:cs="Times New Roman"/>
          <w:sz w:val="22"/>
        </w:rPr>
        <w:t xml:space="preserve">TABA </w:t>
      </w:r>
      <w:r w:rsidR="00215C0D" w:rsidRPr="00215C0D">
        <w:rPr>
          <w:rFonts w:eastAsia="Times New Roman" w:cs="Times New Roman"/>
          <w:sz w:val="22"/>
        </w:rPr>
        <w:t>provider</w:t>
      </w:r>
      <w:r w:rsidR="00491E35">
        <w:rPr>
          <w:rFonts w:eastAsia="Times New Roman" w:cs="Times New Roman"/>
          <w:sz w:val="22"/>
        </w:rPr>
        <w:t>(s)</w:t>
      </w:r>
      <w:r w:rsidR="00215C0D" w:rsidRPr="00215C0D">
        <w:rPr>
          <w:rFonts w:eastAsia="Times New Roman" w:cs="Times New Roman"/>
          <w:sz w:val="22"/>
        </w:rPr>
        <w:t xml:space="preserve"> (firm name)</w:t>
      </w:r>
    </w:p>
    <w:p w14:paraId="34C0C366" w14:textId="01C45F6D" w:rsidR="00215C0D" w:rsidRPr="00215C0D" w:rsidRDefault="001510C1" w:rsidP="00215C0D">
      <w:pPr>
        <w:numPr>
          <w:ilvl w:val="0"/>
          <w:numId w:val="1"/>
        </w:numPr>
        <w:ind w:left="720"/>
        <w:contextualSpacing/>
        <w:jc w:val="both"/>
        <w:rPr>
          <w:rFonts w:eastAsia="Times New Roman" w:cs="Times New Roman"/>
          <w:sz w:val="22"/>
        </w:rPr>
      </w:pPr>
      <w:r>
        <w:rPr>
          <w:rFonts w:eastAsia="Times New Roman" w:cs="Times New Roman"/>
          <w:sz w:val="22"/>
        </w:rPr>
        <w:t>TABA</w:t>
      </w:r>
      <w:r w:rsidR="00215C0D" w:rsidRPr="00215C0D">
        <w:rPr>
          <w:rFonts w:eastAsia="Times New Roman" w:cs="Times New Roman"/>
          <w:sz w:val="22"/>
        </w:rPr>
        <w:t xml:space="preserve"> provider</w:t>
      </w:r>
      <w:r w:rsidR="00491E35">
        <w:rPr>
          <w:rFonts w:eastAsia="Times New Roman" w:cs="Times New Roman"/>
          <w:sz w:val="22"/>
        </w:rPr>
        <w:t>(s)</w:t>
      </w:r>
      <w:r w:rsidR="00215C0D" w:rsidRPr="00215C0D">
        <w:rPr>
          <w:rFonts w:eastAsia="Times New Roman" w:cs="Times New Roman"/>
          <w:sz w:val="22"/>
        </w:rPr>
        <w:t xml:space="preserve"> point of contact, email address, and phone number</w:t>
      </w:r>
    </w:p>
    <w:p w14:paraId="6214FDA3" w14:textId="13C523C0"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An explanation of why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provider</w:t>
      </w:r>
      <w:r w:rsidR="00491E35">
        <w:rPr>
          <w:rFonts w:eastAsia="Times New Roman" w:cs="Times New Roman"/>
          <w:sz w:val="22"/>
        </w:rPr>
        <w:t>(s)</w:t>
      </w:r>
      <w:r w:rsidRPr="00215C0D">
        <w:rPr>
          <w:rFonts w:eastAsia="Times New Roman" w:cs="Times New Roman"/>
          <w:sz w:val="22"/>
        </w:rPr>
        <w:t xml:space="preserve"> is uniquely qualified to provide the service</w:t>
      </w:r>
    </w:p>
    <w:p w14:paraId="5A535165" w14:textId="51297B0B"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Tasks the </w:t>
      </w:r>
      <w:r w:rsidR="001510C1">
        <w:rPr>
          <w:rFonts w:eastAsia="Times New Roman" w:cs="Times New Roman"/>
          <w:sz w:val="22"/>
        </w:rPr>
        <w:t>TABA</w:t>
      </w:r>
      <w:r w:rsidR="001510C1" w:rsidRPr="00215C0D">
        <w:rPr>
          <w:rFonts w:eastAsia="Times New Roman" w:cs="Times New Roman"/>
          <w:sz w:val="22"/>
        </w:rPr>
        <w:t xml:space="preserve"> </w:t>
      </w:r>
      <w:r w:rsidRPr="00215C0D">
        <w:rPr>
          <w:rFonts w:eastAsia="Times New Roman" w:cs="Times New Roman"/>
          <w:sz w:val="22"/>
        </w:rPr>
        <w:t>provider</w:t>
      </w:r>
      <w:r w:rsidR="00491E35">
        <w:rPr>
          <w:rFonts w:eastAsia="Times New Roman" w:cs="Times New Roman"/>
          <w:sz w:val="22"/>
        </w:rPr>
        <w:t>(s)</w:t>
      </w:r>
      <w:r w:rsidRPr="00215C0D">
        <w:rPr>
          <w:rFonts w:eastAsia="Times New Roman" w:cs="Times New Roman"/>
          <w:sz w:val="22"/>
        </w:rPr>
        <w:t xml:space="preserve"> will perform</w:t>
      </w:r>
    </w:p>
    <w:p w14:paraId="49668135" w14:textId="7BDB4DD8"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Total </w:t>
      </w:r>
      <w:r w:rsidR="0020707F">
        <w:rPr>
          <w:rFonts w:eastAsia="Times New Roman" w:cs="Times New Roman"/>
          <w:sz w:val="22"/>
        </w:rPr>
        <w:t xml:space="preserve">TABA </w:t>
      </w:r>
      <w:r w:rsidRPr="00215C0D">
        <w:rPr>
          <w:rFonts w:eastAsia="Times New Roman" w:cs="Times New Roman"/>
          <w:sz w:val="22"/>
        </w:rPr>
        <w:t>provider</w:t>
      </w:r>
      <w:r w:rsidR="00491E35">
        <w:rPr>
          <w:rFonts w:eastAsia="Times New Roman" w:cs="Times New Roman"/>
          <w:sz w:val="22"/>
        </w:rPr>
        <w:t>(s)</w:t>
      </w:r>
      <w:r w:rsidRPr="00215C0D">
        <w:rPr>
          <w:rFonts w:eastAsia="Times New Roman" w:cs="Times New Roman"/>
          <w:sz w:val="22"/>
        </w:rPr>
        <w:t xml:space="preserve"> cost, number of hours, and labor rates (average/blended rate is acceptable) </w:t>
      </w:r>
    </w:p>
    <w:p w14:paraId="7C77AF35" w14:textId="77777777" w:rsidR="00215C0D" w:rsidRPr="00215C0D" w:rsidRDefault="00215C0D" w:rsidP="00215C0D">
      <w:pPr>
        <w:jc w:val="both"/>
        <w:rPr>
          <w:sz w:val="22"/>
        </w:rPr>
      </w:pPr>
      <w:r w:rsidRPr="00215C0D">
        <w:rPr>
          <w:sz w:val="22"/>
        </w:rPr>
        <w:t xml:space="preserve"> </w:t>
      </w:r>
    </w:p>
    <w:p w14:paraId="1689861C" w14:textId="77777777" w:rsidR="00215C0D" w:rsidRPr="00215C0D" w:rsidRDefault="001510C1" w:rsidP="00215C0D">
      <w:pPr>
        <w:jc w:val="both"/>
        <w:rPr>
          <w:sz w:val="22"/>
        </w:rPr>
      </w:pPr>
      <w:r>
        <w:rPr>
          <w:sz w:val="22"/>
        </w:rPr>
        <w:t>TABA</w:t>
      </w:r>
      <w:r w:rsidRPr="00215C0D">
        <w:rPr>
          <w:sz w:val="22"/>
        </w:rPr>
        <w:t xml:space="preserve"> </w:t>
      </w:r>
      <w:r w:rsidR="00215C0D" w:rsidRPr="00215C0D">
        <w:rPr>
          <w:sz w:val="22"/>
        </w:rPr>
        <w:t xml:space="preserve">must </w:t>
      </w:r>
      <w:r w:rsidR="00215C0D" w:rsidRPr="00215C0D">
        <w:rPr>
          <w:sz w:val="22"/>
          <w:u w:val="single"/>
        </w:rPr>
        <w:t>NOT</w:t>
      </w:r>
      <w:r w:rsidR="00215C0D" w:rsidRPr="00215C0D">
        <w:rPr>
          <w:sz w:val="22"/>
        </w:rPr>
        <w:t>:</w:t>
      </w:r>
    </w:p>
    <w:p w14:paraId="34EA8B68"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Be subject to any profit or fee by the </w:t>
      </w:r>
      <w:r w:rsidR="00FF1C17">
        <w:rPr>
          <w:rFonts w:eastAsia="Times New Roman" w:cs="Times New Roman"/>
          <w:sz w:val="22"/>
        </w:rPr>
        <w:t xml:space="preserve">SBIR </w:t>
      </w:r>
      <w:r w:rsidR="0020707F">
        <w:rPr>
          <w:rFonts w:eastAsia="Times New Roman" w:cs="Times New Roman"/>
          <w:sz w:val="22"/>
        </w:rPr>
        <w:t>applicant</w:t>
      </w:r>
    </w:p>
    <w:p w14:paraId="24F2E734"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the </w:t>
      </w:r>
      <w:r w:rsidR="00FF1C17">
        <w:rPr>
          <w:rFonts w:eastAsia="Times New Roman" w:cs="Times New Roman"/>
          <w:sz w:val="22"/>
        </w:rPr>
        <w:t>SBIR applicant</w:t>
      </w:r>
    </w:p>
    <w:p w14:paraId="159C883D"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an affiliate of the </w:t>
      </w:r>
      <w:r w:rsidR="00FF1C17">
        <w:rPr>
          <w:rFonts w:eastAsia="Times New Roman" w:cs="Times New Roman"/>
          <w:sz w:val="22"/>
        </w:rPr>
        <w:t>SBIR applicant</w:t>
      </w:r>
    </w:p>
    <w:p w14:paraId="3123578A"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an investor of the </w:t>
      </w:r>
      <w:r w:rsidR="00FF1C17">
        <w:rPr>
          <w:rFonts w:eastAsia="Times New Roman" w:cs="Times New Roman"/>
          <w:sz w:val="22"/>
        </w:rPr>
        <w:t>SBIR applicant</w:t>
      </w:r>
    </w:p>
    <w:p w14:paraId="33E218A2" w14:textId="77777777" w:rsidR="00215C0D" w:rsidRPr="00215C0D" w:rsidRDefault="00215C0D" w:rsidP="00215C0D">
      <w:pPr>
        <w:numPr>
          <w:ilvl w:val="0"/>
          <w:numId w:val="1"/>
        </w:numPr>
        <w:ind w:left="720"/>
        <w:contextualSpacing/>
        <w:jc w:val="both"/>
        <w:rPr>
          <w:rFonts w:eastAsia="Times New Roman" w:cs="Times New Roman"/>
          <w:sz w:val="22"/>
        </w:rPr>
      </w:pPr>
      <w:r w:rsidRPr="00215C0D">
        <w:rPr>
          <w:rFonts w:eastAsia="Times New Roman" w:cs="Times New Roman"/>
          <w:sz w:val="22"/>
        </w:rPr>
        <w:t xml:space="preserve">Propose a </w:t>
      </w:r>
      <w:r w:rsidR="0020707F">
        <w:rPr>
          <w:rFonts w:eastAsia="Times New Roman" w:cs="Times New Roman"/>
          <w:sz w:val="22"/>
        </w:rPr>
        <w:t xml:space="preserve">TABA </w:t>
      </w:r>
      <w:r w:rsidRPr="00215C0D">
        <w:rPr>
          <w:rFonts w:eastAsia="Times New Roman" w:cs="Times New Roman"/>
          <w:sz w:val="22"/>
        </w:rPr>
        <w:t xml:space="preserve">provider that is a subcontractor or consultant of the requesting firm otherwise required as part of the paid portion of the research effort (e.g., research partner, consultant, tester, or administrative service provider)  </w:t>
      </w:r>
    </w:p>
    <w:p w14:paraId="03D7CDFB" w14:textId="77777777" w:rsidR="00215C0D" w:rsidRPr="00215C0D" w:rsidRDefault="00215C0D" w:rsidP="00215C0D">
      <w:pPr>
        <w:jc w:val="both"/>
        <w:rPr>
          <w:sz w:val="22"/>
        </w:rPr>
      </w:pPr>
    </w:p>
    <w:p w14:paraId="0905C278" w14:textId="77777777" w:rsidR="00215C0D" w:rsidRDefault="001510C1" w:rsidP="00215C0D">
      <w:pPr>
        <w:jc w:val="both"/>
        <w:rPr>
          <w:sz w:val="22"/>
        </w:rPr>
      </w:pPr>
      <w:r>
        <w:rPr>
          <w:sz w:val="22"/>
        </w:rPr>
        <w:t>TABA</w:t>
      </w:r>
      <w:r w:rsidRPr="00215C0D">
        <w:rPr>
          <w:sz w:val="22"/>
        </w:rPr>
        <w:t xml:space="preserve"> </w:t>
      </w:r>
      <w:r w:rsidR="00215C0D" w:rsidRPr="00215C0D">
        <w:rPr>
          <w:sz w:val="22"/>
        </w:rPr>
        <w:t>must be included in the Cost Volume (Volume 3) as follows:</w:t>
      </w:r>
    </w:p>
    <w:p w14:paraId="28D57FB0" w14:textId="11F73A0E" w:rsidR="00AC1A3F" w:rsidRPr="00AC1A3F" w:rsidRDefault="00AC1A3F" w:rsidP="00AC1A3F">
      <w:pPr>
        <w:numPr>
          <w:ilvl w:val="0"/>
          <w:numId w:val="1"/>
        </w:numPr>
        <w:ind w:left="720"/>
        <w:contextualSpacing/>
        <w:jc w:val="both"/>
        <w:rPr>
          <w:sz w:val="22"/>
        </w:rPr>
      </w:pPr>
      <w:r>
        <w:rPr>
          <w:sz w:val="22"/>
        </w:rPr>
        <w:t xml:space="preserve">Phase II:  The value of the TABA request must be included in the Order of Magnitude Cost Estimate Table in the Snapshot of Proposal Phase II Effort section of the Technical Volume (Volume 2). The detailed request for TABA (as specified above) must be included as a note in the Order of Magnitude Cost Estimate Table and be specifically identified as “Discretionary Technical and Business Assistance”. </w:t>
      </w:r>
    </w:p>
    <w:p w14:paraId="6E83206F" w14:textId="77777777" w:rsidR="00215C0D" w:rsidRPr="00215C0D" w:rsidRDefault="00215C0D" w:rsidP="00215C0D">
      <w:pPr>
        <w:jc w:val="both"/>
        <w:rPr>
          <w:sz w:val="22"/>
        </w:rPr>
      </w:pPr>
    </w:p>
    <w:p w14:paraId="37802D3F" w14:textId="77777777" w:rsidR="00215C0D" w:rsidRPr="00305DFB" w:rsidRDefault="00215C0D" w:rsidP="00305DFB">
      <w:pPr>
        <w:jc w:val="both"/>
        <w:rPr>
          <w:sz w:val="22"/>
        </w:rPr>
      </w:pPr>
      <w:r w:rsidRPr="00215C0D">
        <w:rPr>
          <w:sz w:val="22"/>
        </w:rPr>
        <w:t xml:space="preserve">Proposed values for </w:t>
      </w:r>
      <w:r w:rsidR="001510C1">
        <w:rPr>
          <w:sz w:val="22"/>
        </w:rPr>
        <w:t>TABA</w:t>
      </w:r>
      <w:r w:rsidR="001510C1" w:rsidRPr="00215C0D">
        <w:rPr>
          <w:sz w:val="22"/>
        </w:rPr>
        <w:t xml:space="preserve"> </w:t>
      </w:r>
      <w:r w:rsidRPr="00215C0D">
        <w:rPr>
          <w:sz w:val="22"/>
        </w:rPr>
        <w:t xml:space="preserve">must </w:t>
      </w:r>
      <w:r w:rsidRPr="00215C0D">
        <w:rPr>
          <w:sz w:val="22"/>
          <w:u w:val="single"/>
        </w:rPr>
        <w:t>NOT</w:t>
      </w:r>
      <w:r w:rsidRPr="00215C0D">
        <w:rPr>
          <w:sz w:val="22"/>
        </w:rPr>
        <w:t xml:space="preserve"> exceed:</w:t>
      </w:r>
    </w:p>
    <w:p w14:paraId="700C5351" w14:textId="1A05A6C9" w:rsidR="00215C0D" w:rsidRPr="00B36FB7" w:rsidRDefault="00BB0698" w:rsidP="00B36FB7">
      <w:pPr>
        <w:numPr>
          <w:ilvl w:val="0"/>
          <w:numId w:val="1"/>
        </w:numPr>
        <w:ind w:left="720"/>
        <w:contextualSpacing/>
        <w:jc w:val="both"/>
        <w:rPr>
          <w:rFonts w:eastAsia="Times New Roman" w:cs="Times New Roman"/>
          <w:sz w:val="22"/>
        </w:rPr>
      </w:pPr>
      <w:r w:rsidRPr="00215C0D">
        <w:rPr>
          <w:rFonts w:eastAsia="Times New Roman" w:cs="Times New Roman"/>
          <w:sz w:val="22"/>
        </w:rPr>
        <w:t>A total of $</w:t>
      </w:r>
      <w:r>
        <w:rPr>
          <w:rFonts w:eastAsia="Times New Roman" w:cs="Times New Roman"/>
          <w:sz w:val="22"/>
        </w:rPr>
        <w:t>2</w:t>
      </w:r>
      <w:r w:rsidRPr="00215C0D">
        <w:rPr>
          <w:rFonts w:eastAsia="Times New Roman" w:cs="Times New Roman"/>
          <w:sz w:val="22"/>
        </w:rPr>
        <w:t xml:space="preserve">5,000 per </w:t>
      </w:r>
      <w:r>
        <w:rPr>
          <w:rFonts w:eastAsia="Times New Roman" w:cs="Times New Roman"/>
          <w:sz w:val="22"/>
        </w:rPr>
        <w:t>award</w:t>
      </w:r>
      <w:r w:rsidRPr="00215C0D">
        <w:rPr>
          <w:rFonts w:eastAsia="Times New Roman" w:cs="Times New Roman"/>
          <w:sz w:val="22"/>
        </w:rPr>
        <w:t>, not to exceed $</w:t>
      </w:r>
      <w:r>
        <w:rPr>
          <w:rFonts w:eastAsia="Times New Roman" w:cs="Times New Roman"/>
          <w:sz w:val="22"/>
        </w:rPr>
        <w:t>5</w:t>
      </w:r>
      <w:r w:rsidRPr="00215C0D">
        <w:rPr>
          <w:rFonts w:eastAsia="Times New Roman" w:cs="Times New Roman"/>
          <w:sz w:val="22"/>
        </w:rPr>
        <w:t xml:space="preserve">0,000 per Phase II </w:t>
      </w:r>
      <w:r>
        <w:rPr>
          <w:rFonts w:eastAsia="Times New Roman" w:cs="Times New Roman"/>
          <w:sz w:val="22"/>
        </w:rPr>
        <w:t>project</w:t>
      </w:r>
    </w:p>
    <w:p w14:paraId="23E54DED" w14:textId="77777777" w:rsidR="00215C0D" w:rsidRDefault="00215C0D" w:rsidP="00215C0D">
      <w:pPr>
        <w:jc w:val="both"/>
        <w:rPr>
          <w:sz w:val="22"/>
        </w:rPr>
      </w:pPr>
    </w:p>
    <w:p w14:paraId="2EEB4E8C" w14:textId="598E566B" w:rsidR="006F00D4" w:rsidRPr="009A4A17" w:rsidRDefault="006F00D4" w:rsidP="004D2142">
      <w:pPr>
        <w:jc w:val="both"/>
        <w:rPr>
          <w:sz w:val="22"/>
        </w:rPr>
      </w:pPr>
      <w:r w:rsidRPr="009A4A17">
        <w:rPr>
          <w:sz w:val="22"/>
        </w:rPr>
        <w:t xml:space="preserve">NOTE: </w:t>
      </w:r>
      <w:r w:rsidR="00420B62" w:rsidRPr="00420B62">
        <w:rPr>
          <w:sz w:val="22"/>
        </w:rPr>
        <w:t xml:space="preserve">Section 9(b)(5) of the SBIR and STTR Policy Directive requires that a firm receiving technical or business assistance from a vendor during a fiscal year submit a report with a description of the technical or business assistance received and the benefits and results of the technical or business assistance provided. </w:t>
      </w:r>
      <w:r w:rsidR="00420B62" w:rsidRPr="00420B62">
        <w:rPr>
          <w:sz w:val="22"/>
        </w:rPr>
        <w:lastRenderedPageBreak/>
        <w:t xml:space="preserve">More information on the reporting requirements of awardees that receive TABA funding through the DON can be found on </w:t>
      </w:r>
      <w:hyperlink r:id="rId20" w:history="1">
        <w:r w:rsidR="00420B62" w:rsidRPr="0005060C">
          <w:rPr>
            <w:rStyle w:val="Hyperlink"/>
            <w:sz w:val="22"/>
          </w:rPr>
          <w:t>https://www.navysbir.com/links_forms.htm</w:t>
        </w:r>
      </w:hyperlink>
      <w:r w:rsidR="00420B62" w:rsidRPr="00420B62">
        <w:rPr>
          <w:sz w:val="22"/>
        </w:rPr>
        <w:t>.</w:t>
      </w:r>
      <w:r w:rsidR="00420B62">
        <w:rPr>
          <w:sz w:val="22"/>
        </w:rPr>
        <w:t xml:space="preserve"> </w:t>
      </w:r>
      <w:r w:rsidR="00420B62" w:rsidRPr="00420B62">
        <w:rPr>
          <w:sz w:val="22"/>
        </w:rPr>
        <w:t xml:space="preserve">Awardees that receive TABA funding through the DON will upload the report to </w:t>
      </w:r>
      <w:hyperlink r:id="rId21" w:history="1">
        <w:r w:rsidR="00420B62" w:rsidRPr="0005060C">
          <w:rPr>
            <w:rStyle w:val="Hyperlink"/>
            <w:sz w:val="22"/>
          </w:rPr>
          <w:t>https://www.navysbirprogram.com/navydeliverables/</w:t>
        </w:r>
      </w:hyperlink>
      <w:r w:rsidR="00420B62" w:rsidRPr="00420B62">
        <w:rPr>
          <w:sz w:val="22"/>
        </w:rPr>
        <w:t>.</w:t>
      </w:r>
      <w:r w:rsidR="00420B62">
        <w:rPr>
          <w:sz w:val="22"/>
        </w:rPr>
        <w:t xml:space="preserve"> </w:t>
      </w:r>
    </w:p>
    <w:p w14:paraId="14311559" w14:textId="77777777" w:rsidR="006F00D4" w:rsidRPr="00215C0D" w:rsidRDefault="006F00D4" w:rsidP="00215C0D">
      <w:pPr>
        <w:jc w:val="both"/>
        <w:rPr>
          <w:sz w:val="22"/>
        </w:rPr>
      </w:pPr>
    </w:p>
    <w:p w14:paraId="3A0CAB8F" w14:textId="77777777" w:rsidR="00215C0D" w:rsidRPr="00215C0D" w:rsidRDefault="00215C0D" w:rsidP="00215C0D">
      <w:pPr>
        <w:jc w:val="both"/>
        <w:rPr>
          <w:sz w:val="22"/>
        </w:rPr>
      </w:pPr>
      <w:r w:rsidRPr="00215C0D">
        <w:rPr>
          <w:sz w:val="22"/>
        </w:rPr>
        <w:t xml:space="preserve">If a proposer requests and is awarded </w:t>
      </w:r>
      <w:r w:rsidR="001510C1">
        <w:rPr>
          <w:sz w:val="22"/>
        </w:rPr>
        <w:t>TABA</w:t>
      </w:r>
      <w:r w:rsidR="001510C1" w:rsidRPr="00215C0D">
        <w:rPr>
          <w:sz w:val="22"/>
        </w:rPr>
        <w:t xml:space="preserve"> </w:t>
      </w:r>
      <w:r w:rsidRPr="00215C0D">
        <w:rPr>
          <w:sz w:val="22"/>
        </w:rPr>
        <w:t>in a Phase II contract, the proposer will be eliminated from participating in the DON SBIR/STTR Transition Program (STP), the DON Forum for SBIR/STTR Transition (FST), and any other assistance the DON provides directly to awardees.</w:t>
      </w:r>
    </w:p>
    <w:p w14:paraId="131E5795" w14:textId="77777777" w:rsidR="00215C0D" w:rsidRPr="00215C0D" w:rsidRDefault="00215C0D" w:rsidP="00215C0D">
      <w:pPr>
        <w:jc w:val="both"/>
        <w:rPr>
          <w:sz w:val="22"/>
        </w:rPr>
      </w:pPr>
    </w:p>
    <w:p w14:paraId="0E129F50" w14:textId="77777777" w:rsidR="00215C0D" w:rsidRPr="00215C0D" w:rsidRDefault="00215C0D" w:rsidP="00215C0D">
      <w:pPr>
        <w:jc w:val="both"/>
        <w:rPr>
          <w:b/>
          <w:sz w:val="22"/>
        </w:rPr>
      </w:pPr>
      <w:r w:rsidRPr="00215C0D">
        <w:rPr>
          <w:sz w:val="22"/>
        </w:rPr>
        <w:t xml:space="preserve">All Phase II awardees not receiving funds for </w:t>
      </w:r>
      <w:r w:rsidR="001510C1">
        <w:rPr>
          <w:sz w:val="22"/>
        </w:rPr>
        <w:t>TABA</w:t>
      </w:r>
      <w:r w:rsidR="001510C1" w:rsidRPr="00215C0D">
        <w:rPr>
          <w:sz w:val="22"/>
        </w:rPr>
        <w:t xml:space="preserve"> </w:t>
      </w:r>
      <w:r w:rsidRPr="00215C0D">
        <w:rPr>
          <w:sz w:val="22"/>
        </w:rPr>
        <w:t xml:space="preserve">in their awards must attend a one-day DON STP meeting during the first or second year of the Phase II contract. This meeting is typically held in the spring/summer in the Washington, D.C. area. STP information can be obtained at: </w:t>
      </w:r>
      <w:hyperlink r:id="rId22" w:history="1">
        <w:r w:rsidRPr="00215C0D">
          <w:rPr>
            <w:color w:val="0000FF"/>
            <w:sz w:val="22"/>
            <w:u w:val="single"/>
          </w:rPr>
          <w:t>https://navystp.com</w:t>
        </w:r>
      </w:hyperlink>
      <w:r w:rsidRPr="00215C0D">
        <w:rPr>
          <w:sz w:val="22"/>
        </w:rPr>
        <w:t>. Phase II awardees will be contacted separately regarding this program. It is recommended that Phase II cost estimates include travel to Washington, D.C. for this event.</w:t>
      </w:r>
    </w:p>
    <w:p w14:paraId="7B766BAB" w14:textId="77777777" w:rsidR="00215C0D" w:rsidRPr="00215C0D" w:rsidRDefault="00215C0D" w:rsidP="00215C0D">
      <w:pPr>
        <w:spacing w:after="60"/>
        <w:jc w:val="both"/>
        <w:outlineLvl w:val="0"/>
        <w:rPr>
          <w:b/>
          <w:sz w:val="22"/>
        </w:rPr>
      </w:pPr>
    </w:p>
    <w:p w14:paraId="090D7463" w14:textId="77777777" w:rsidR="00215C0D" w:rsidRPr="00215C0D" w:rsidRDefault="00215C0D" w:rsidP="00215C0D">
      <w:pPr>
        <w:spacing w:after="60"/>
        <w:jc w:val="both"/>
        <w:outlineLvl w:val="0"/>
        <w:rPr>
          <w:b/>
          <w:sz w:val="22"/>
        </w:rPr>
      </w:pPr>
      <w:r w:rsidRPr="00215C0D">
        <w:rPr>
          <w:b/>
          <w:sz w:val="22"/>
        </w:rPr>
        <w:t>EVALUATION AND SELECTION</w:t>
      </w:r>
    </w:p>
    <w:p w14:paraId="6436B7C7" w14:textId="218F13DA" w:rsidR="00215C0D" w:rsidRPr="00215C0D" w:rsidRDefault="00215C0D" w:rsidP="00215C0D">
      <w:pPr>
        <w:jc w:val="both"/>
        <w:rPr>
          <w:sz w:val="22"/>
        </w:rPr>
      </w:pPr>
      <w:r w:rsidRPr="00215C0D">
        <w:rPr>
          <w:sz w:val="22"/>
        </w:rPr>
        <w:t xml:space="preserve">The DON will evaluate and select </w:t>
      </w:r>
      <w:r w:rsidR="00A0157F">
        <w:rPr>
          <w:sz w:val="22"/>
        </w:rPr>
        <w:t xml:space="preserve">Phase I </w:t>
      </w:r>
      <w:r w:rsidR="00D26213">
        <w:rPr>
          <w:sz w:val="22"/>
        </w:rPr>
        <w:t>Feasibility</w:t>
      </w:r>
      <w:r w:rsidRPr="00215C0D">
        <w:rPr>
          <w:sz w:val="22"/>
        </w:rPr>
        <w:t xml:space="preserve"> and </w:t>
      </w:r>
      <w:r w:rsidR="00605000">
        <w:rPr>
          <w:sz w:val="22"/>
        </w:rPr>
        <w:t xml:space="preserve">DP2 </w:t>
      </w:r>
      <w:r w:rsidRPr="00215C0D">
        <w:rPr>
          <w:sz w:val="22"/>
        </w:rPr>
        <w:t xml:space="preserve">proposals using the evaluation criteria in Sections 6.0 and 8.0 of the DoD SBIR/STTR Program BAA respectively, with technical merit being most important, followed by qualifications of key personnel and commercialization potential of equal importance. As noted in the sections of the aforementioned Announcement on proposal submission requirements, proposals exceeding the total costs established for the Base and/or any Options as specified by the sponsoring DON SYSCOM will be rejected without evaluation or consideration for award. Due to limited funding, the DON reserves the right to limit awards under any topic. </w:t>
      </w:r>
    </w:p>
    <w:p w14:paraId="223547E1" w14:textId="77777777" w:rsidR="00215C0D" w:rsidRPr="00215C0D" w:rsidRDefault="00215C0D" w:rsidP="00215C0D">
      <w:pPr>
        <w:jc w:val="both"/>
        <w:rPr>
          <w:sz w:val="22"/>
        </w:rPr>
      </w:pPr>
    </w:p>
    <w:p w14:paraId="71133C81" w14:textId="77777777" w:rsidR="00215C0D" w:rsidRPr="00215C0D" w:rsidRDefault="00215C0D" w:rsidP="00215C0D">
      <w:pPr>
        <w:jc w:val="both"/>
        <w:rPr>
          <w:sz w:val="22"/>
        </w:rPr>
      </w:pPr>
      <w:r w:rsidRPr="00215C0D">
        <w:rPr>
          <w:sz w:val="22"/>
        </w:rPr>
        <w:t xml:space="preserve">Approximately one week after the </w:t>
      </w:r>
      <w:r w:rsidR="00305DFB">
        <w:rPr>
          <w:sz w:val="22"/>
        </w:rPr>
        <w:t xml:space="preserve">DP2 </w:t>
      </w:r>
      <w:r w:rsidRPr="00215C0D">
        <w:rPr>
          <w:sz w:val="22"/>
        </w:rPr>
        <w:t>BAA closing, e-mail notifications that proposals have been received and processed for evaluation will be sent. Consequently, the e-mail address on the proposal Cover Sheet must be correct.</w:t>
      </w:r>
    </w:p>
    <w:p w14:paraId="0A0522CB" w14:textId="77777777" w:rsidR="00215C0D" w:rsidRPr="00215C0D" w:rsidRDefault="00215C0D" w:rsidP="00215C0D">
      <w:pPr>
        <w:jc w:val="both"/>
        <w:rPr>
          <w:sz w:val="22"/>
        </w:rPr>
      </w:pPr>
    </w:p>
    <w:p w14:paraId="02147807" w14:textId="6BD4E93B" w:rsidR="00305DFB" w:rsidRDefault="00305DFB" w:rsidP="00215C0D">
      <w:pPr>
        <w:jc w:val="both"/>
        <w:rPr>
          <w:sz w:val="22"/>
        </w:rPr>
      </w:pPr>
      <w:r>
        <w:rPr>
          <w:sz w:val="22"/>
        </w:rPr>
        <w:t xml:space="preserve">Selected Phase I Feasibility </w:t>
      </w:r>
      <w:r w:rsidR="007D1389">
        <w:rPr>
          <w:sz w:val="22"/>
        </w:rPr>
        <w:t xml:space="preserve">proposers </w:t>
      </w:r>
      <w:r>
        <w:rPr>
          <w:sz w:val="22"/>
        </w:rPr>
        <w:t xml:space="preserve">will be notified to submit Full DP2 Proposals. SYSCOM-specific Full DP2 Proposal guidance will be provided at the time of this notification. </w:t>
      </w:r>
    </w:p>
    <w:p w14:paraId="664D5372" w14:textId="77777777" w:rsidR="00305DFB" w:rsidRDefault="00305DFB" w:rsidP="00215C0D">
      <w:pPr>
        <w:jc w:val="both"/>
        <w:rPr>
          <w:sz w:val="22"/>
        </w:rPr>
      </w:pPr>
    </w:p>
    <w:p w14:paraId="3F873161" w14:textId="77777777" w:rsidR="00215C0D" w:rsidRPr="00215C0D" w:rsidRDefault="00215C0D" w:rsidP="00215C0D">
      <w:pPr>
        <w:jc w:val="both"/>
        <w:rPr>
          <w:sz w:val="22"/>
        </w:rPr>
      </w:pPr>
      <w:r w:rsidRPr="00215C0D">
        <w:rPr>
          <w:sz w:val="22"/>
        </w:rPr>
        <w:t>Requests for a debrief must be made within 15 calendar days of select/non-select notification via email as specified in the select/non-select notification. Please note debriefs are typically provided in writing via email to the Corporate Official identified in the firm proposal within 60 days of receipt of the request. Requests for oral debriefs may not be accommodated. If contact information for the Corporate Official has changed since proposal submission, a notice of the change on company letterhead signed by the Corporate Official must accompany the debrief request.</w:t>
      </w:r>
    </w:p>
    <w:p w14:paraId="407E3579" w14:textId="77777777" w:rsidR="00215C0D" w:rsidRPr="00215C0D" w:rsidRDefault="00215C0D" w:rsidP="00215C0D">
      <w:pPr>
        <w:jc w:val="both"/>
        <w:rPr>
          <w:sz w:val="22"/>
        </w:rPr>
      </w:pPr>
    </w:p>
    <w:p w14:paraId="44D637A0" w14:textId="7BDCB2E4" w:rsidR="00215C0D" w:rsidRDefault="00215C0D" w:rsidP="00215C0D">
      <w:pPr>
        <w:jc w:val="both"/>
        <w:rPr>
          <w:sz w:val="22"/>
        </w:rPr>
      </w:pPr>
      <w:r w:rsidRPr="00215C0D">
        <w:rPr>
          <w:sz w:val="22"/>
        </w:rPr>
        <w:t xml:space="preserve">Protests of </w:t>
      </w:r>
      <w:r w:rsidR="00B0044F">
        <w:rPr>
          <w:sz w:val="22"/>
        </w:rPr>
        <w:t xml:space="preserve">the </w:t>
      </w:r>
      <w:r w:rsidRPr="00215C0D">
        <w:rPr>
          <w:sz w:val="22"/>
        </w:rPr>
        <w:t xml:space="preserve">Phase I </w:t>
      </w:r>
      <w:r w:rsidR="00B0044F">
        <w:rPr>
          <w:sz w:val="22"/>
        </w:rPr>
        <w:t xml:space="preserve">Feasibility evaluations and DP2 selections </w:t>
      </w:r>
      <w:r w:rsidRPr="00215C0D">
        <w:rPr>
          <w:sz w:val="22"/>
        </w:rPr>
        <w:t xml:space="preserve">and awards must be directed to the cognizant Contracting Officer for the DON Topic </w:t>
      </w:r>
      <w:proofErr w:type="gramStart"/>
      <w:r w:rsidRPr="00215C0D">
        <w:rPr>
          <w:sz w:val="22"/>
        </w:rPr>
        <w:t>Number, or</w:t>
      </w:r>
      <w:proofErr w:type="gramEnd"/>
      <w:r w:rsidRPr="00215C0D">
        <w:rPr>
          <w:sz w:val="22"/>
        </w:rPr>
        <w:t xml:space="preserve"> filed </w:t>
      </w:r>
      <w:r w:rsidR="00D26213">
        <w:rPr>
          <w:sz w:val="22"/>
        </w:rPr>
        <w:t xml:space="preserve">directly </w:t>
      </w:r>
      <w:r w:rsidRPr="00215C0D">
        <w:rPr>
          <w:sz w:val="22"/>
        </w:rPr>
        <w:t xml:space="preserve">with the Government Accountability Office (GAO). Contact information for Contracting Officers may be obtained from the DON SYSCOM Program Managers listed in Table 1. If the protest is to be filed with the GAO, please refer to instructions provided in section 4.11 of the DoD SBIR/STTR Program BAA. </w:t>
      </w:r>
    </w:p>
    <w:p w14:paraId="5CC7D5B4" w14:textId="795E4469" w:rsidR="002E19EE" w:rsidRDefault="002E19EE" w:rsidP="00215C0D">
      <w:pPr>
        <w:jc w:val="both"/>
        <w:rPr>
          <w:sz w:val="22"/>
        </w:rPr>
      </w:pPr>
    </w:p>
    <w:p w14:paraId="3073712C" w14:textId="551C68C5" w:rsidR="002E19EE" w:rsidRPr="00215C0D" w:rsidRDefault="002E19EE" w:rsidP="00215C0D">
      <w:pPr>
        <w:jc w:val="both"/>
        <w:rPr>
          <w:sz w:val="22"/>
        </w:rPr>
      </w:pPr>
      <w:r>
        <w:rPr>
          <w:sz w:val="22"/>
        </w:rPr>
        <w:t xml:space="preserve">Protests to this BAA and proposal submission must be directed to the DoD SBIR/STTR BAA Contracting </w:t>
      </w:r>
      <w:proofErr w:type="gramStart"/>
      <w:r>
        <w:rPr>
          <w:sz w:val="22"/>
        </w:rPr>
        <w:t>Officer, or</w:t>
      </w:r>
      <w:proofErr w:type="gramEnd"/>
      <w:r>
        <w:rPr>
          <w:sz w:val="22"/>
        </w:rPr>
        <w:t xml:space="preserve"> filed with the GAO. Contact information for the DoD SBIR/STTR BAA Contracting Officer can be found in section 4.11 of the DoD SBIR/STTR Program BAA. </w:t>
      </w:r>
    </w:p>
    <w:p w14:paraId="6920D8B4" w14:textId="77777777" w:rsidR="00215C0D" w:rsidRPr="00215C0D" w:rsidRDefault="00215C0D" w:rsidP="00215C0D">
      <w:pPr>
        <w:jc w:val="both"/>
        <w:rPr>
          <w:sz w:val="22"/>
        </w:rPr>
      </w:pPr>
    </w:p>
    <w:p w14:paraId="2C265A97" w14:textId="77777777" w:rsidR="00215C0D" w:rsidRPr="00215C0D" w:rsidRDefault="00215C0D" w:rsidP="00215C0D">
      <w:pPr>
        <w:jc w:val="both"/>
        <w:outlineLvl w:val="0"/>
        <w:rPr>
          <w:b/>
          <w:color w:val="000000"/>
          <w:sz w:val="22"/>
        </w:rPr>
      </w:pPr>
      <w:r w:rsidRPr="00215C0D">
        <w:rPr>
          <w:b/>
          <w:color w:val="000000"/>
          <w:sz w:val="22"/>
        </w:rPr>
        <w:t>CONTRACT DELIVERABLES</w:t>
      </w:r>
    </w:p>
    <w:p w14:paraId="566E2D98" w14:textId="77777777" w:rsidR="00215C0D" w:rsidRPr="00215C0D" w:rsidRDefault="00215C0D" w:rsidP="00215C0D">
      <w:pPr>
        <w:jc w:val="both"/>
        <w:rPr>
          <w:sz w:val="22"/>
        </w:rPr>
      </w:pPr>
      <w:r w:rsidRPr="00215C0D">
        <w:rPr>
          <w:sz w:val="22"/>
        </w:rPr>
        <w:t xml:space="preserve">Contract deliverables are typically progress reports and final reports. Required contract deliverables must be uploaded to </w:t>
      </w:r>
      <w:hyperlink r:id="rId23" w:history="1">
        <w:r w:rsidRPr="00215C0D">
          <w:rPr>
            <w:color w:val="0000FF"/>
            <w:sz w:val="22"/>
            <w:u w:val="single"/>
          </w:rPr>
          <w:t>https://www.navysbirprogram.com/navydeliverables/</w:t>
        </w:r>
      </w:hyperlink>
      <w:r w:rsidRPr="00215C0D">
        <w:rPr>
          <w:sz w:val="22"/>
        </w:rPr>
        <w:t>.</w:t>
      </w:r>
    </w:p>
    <w:p w14:paraId="5BD7F8C8" w14:textId="77777777" w:rsidR="00215C0D" w:rsidRPr="00215C0D" w:rsidRDefault="00215C0D" w:rsidP="00215C0D">
      <w:pPr>
        <w:jc w:val="both"/>
        <w:outlineLvl w:val="0"/>
        <w:rPr>
          <w:b/>
          <w:caps/>
          <w:sz w:val="22"/>
        </w:rPr>
      </w:pPr>
    </w:p>
    <w:p w14:paraId="07700553" w14:textId="77777777" w:rsidR="00215C0D" w:rsidRPr="00215C0D" w:rsidRDefault="00215C0D" w:rsidP="00215C0D">
      <w:pPr>
        <w:spacing w:after="60"/>
        <w:jc w:val="both"/>
        <w:outlineLvl w:val="0"/>
        <w:rPr>
          <w:b/>
          <w:caps/>
          <w:sz w:val="22"/>
        </w:rPr>
      </w:pPr>
      <w:r w:rsidRPr="00215C0D">
        <w:rPr>
          <w:b/>
          <w:caps/>
          <w:sz w:val="22"/>
        </w:rPr>
        <w:t>Award and Funding Limitations</w:t>
      </w:r>
    </w:p>
    <w:p w14:paraId="6F88ED82" w14:textId="3DCAEB5C" w:rsidR="00AA4741" w:rsidRPr="00215C0D" w:rsidRDefault="00215C0D" w:rsidP="00AA4741">
      <w:pPr>
        <w:jc w:val="both"/>
        <w:rPr>
          <w:sz w:val="22"/>
        </w:rPr>
      </w:pPr>
      <w:r w:rsidRPr="00215C0D">
        <w:rPr>
          <w:sz w:val="22"/>
          <w:u w:val="single"/>
        </w:rPr>
        <w:t>Awards.</w:t>
      </w:r>
      <w:r w:rsidRPr="00215C0D">
        <w:rPr>
          <w:sz w:val="22"/>
        </w:rPr>
        <w:t xml:space="preserve"> </w:t>
      </w:r>
      <w:r w:rsidR="00AA4741" w:rsidRPr="00215C0D">
        <w:rPr>
          <w:sz w:val="22"/>
        </w:rPr>
        <w:t xml:space="preserve">The DON typically awards a Cost Plus Fixed Fee contract for </w:t>
      </w:r>
      <w:r w:rsidR="00AA4741">
        <w:rPr>
          <w:sz w:val="22"/>
        </w:rPr>
        <w:t>DP2</w:t>
      </w:r>
      <w:r w:rsidR="00AA4741" w:rsidRPr="00215C0D">
        <w:rPr>
          <w:sz w:val="22"/>
        </w:rPr>
        <w:t>; but, may consider other types of agreement vehicles</w:t>
      </w:r>
      <w:r w:rsidR="00AA4741">
        <w:rPr>
          <w:sz w:val="22"/>
        </w:rPr>
        <w:t xml:space="preserve">, such as </w:t>
      </w:r>
      <w:proofErr w:type="gramStart"/>
      <w:r w:rsidR="00AA4741">
        <w:rPr>
          <w:sz w:val="22"/>
        </w:rPr>
        <w:t>an Other</w:t>
      </w:r>
      <w:proofErr w:type="gramEnd"/>
      <w:r w:rsidR="00AA4741">
        <w:rPr>
          <w:sz w:val="22"/>
        </w:rPr>
        <w:t xml:space="preserve"> Transaction Agreement (OTA) </w:t>
      </w:r>
      <w:r w:rsidR="002F4732">
        <w:rPr>
          <w:sz w:val="22"/>
        </w:rPr>
        <w:t xml:space="preserve">or a </w:t>
      </w:r>
      <w:r w:rsidR="002F4732">
        <w:rPr>
          <w:rFonts w:eastAsia="Times New Roman" w:cs="Times New Roman"/>
          <w:sz w:val="22"/>
        </w:rPr>
        <w:t>Basic Ordering Agreement (BOA</w:t>
      </w:r>
      <w:r w:rsidR="002F4732" w:rsidRPr="007C3360">
        <w:rPr>
          <w:rFonts w:eastAsia="Times New Roman" w:cs="Times New Roman"/>
          <w:sz w:val="22"/>
        </w:rPr>
        <w:t xml:space="preserve">) </w:t>
      </w:r>
      <w:r w:rsidR="00AA4741">
        <w:rPr>
          <w:sz w:val="22"/>
        </w:rPr>
        <w:t>as specified in 10 U.S.C. 2371/10 U.S.C. 2371b and related implementing policies and regulations</w:t>
      </w:r>
      <w:r w:rsidR="00AA4741" w:rsidRPr="00215C0D">
        <w:rPr>
          <w:sz w:val="22"/>
        </w:rPr>
        <w:t>.</w:t>
      </w:r>
      <w:r w:rsidR="00CD16E7">
        <w:rPr>
          <w:sz w:val="22"/>
        </w:rPr>
        <w:t xml:space="preserve"> The DON may choose to use a Basic Ordering Agreement (BOA) for Phase II awards.</w:t>
      </w:r>
      <w:r w:rsidR="00AA4741" w:rsidRPr="00215C0D">
        <w:rPr>
          <w:sz w:val="22"/>
        </w:rPr>
        <w:t xml:space="preserve"> </w:t>
      </w:r>
      <w:r w:rsidR="00AA4741">
        <w:rPr>
          <w:sz w:val="22"/>
        </w:rPr>
        <w:t>DP2</w:t>
      </w:r>
      <w:r w:rsidR="00AA4741" w:rsidRPr="00215C0D">
        <w:rPr>
          <w:sz w:val="22"/>
        </w:rPr>
        <w:t xml:space="preserve"> awards can be structured in a way that allows for increased funding levels based on the project’s transition potential. To accelerate the transition of SBIR/STTR-funded technologies to Phase III, especially those that lead to Programs of Record and fielded systems, the Commercialization Readiness Program was authorized and created as part of section 5122 of the National Defense Authorization Act of Fiscal Year 2012. The statute set-aside is 1% of the available SBIR/STTR funding to be used for administrative support to accelerate transition of SBIR/STTR-developed technologies and provide non-financial resources for the firms (e.g., the DON STP).  </w:t>
      </w:r>
    </w:p>
    <w:p w14:paraId="17DA549C" w14:textId="77777777" w:rsidR="00215C0D" w:rsidRPr="00215C0D" w:rsidRDefault="00215C0D" w:rsidP="00215C0D">
      <w:pPr>
        <w:jc w:val="both"/>
        <w:outlineLvl w:val="0"/>
        <w:rPr>
          <w:b/>
          <w:caps/>
          <w:sz w:val="22"/>
        </w:rPr>
      </w:pPr>
    </w:p>
    <w:p w14:paraId="2DECB020" w14:textId="77777777" w:rsidR="00215C0D" w:rsidRPr="00215C0D" w:rsidRDefault="00215C0D" w:rsidP="00215C0D">
      <w:pPr>
        <w:spacing w:after="60"/>
        <w:jc w:val="both"/>
        <w:outlineLvl w:val="0"/>
        <w:rPr>
          <w:b/>
          <w:caps/>
          <w:sz w:val="22"/>
        </w:rPr>
      </w:pPr>
      <w:r w:rsidRPr="00215C0D">
        <w:rPr>
          <w:b/>
          <w:caps/>
          <w:sz w:val="22"/>
        </w:rPr>
        <w:t>Transfer Between SBIR and STTR Programs</w:t>
      </w:r>
    </w:p>
    <w:p w14:paraId="6C2D9217" w14:textId="51301BC6" w:rsidR="00215C0D" w:rsidRPr="00215C0D" w:rsidRDefault="00215C0D" w:rsidP="00215C0D">
      <w:pPr>
        <w:jc w:val="both"/>
        <w:rPr>
          <w:sz w:val="22"/>
        </w:rPr>
      </w:pPr>
      <w:r w:rsidRPr="00215C0D">
        <w:rPr>
          <w:sz w:val="22"/>
        </w:rPr>
        <w:t xml:space="preserve">Section 4(b)(1)(i) of the SBIR </w:t>
      </w:r>
      <w:r w:rsidR="00CD16E7">
        <w:rPr>
          <w:sz w:val="22"/>
        </w:rPr>
        <w:t xml:space="preserve">and STTR </w:t>
      </w:r>
      <w:r w:rsidRPr="00215C0D">
        <w:rPr>
          <w:sz w:val="22"/>
        </w:rPr>
        <w:t xml:space="preserve">Policy Directive provides that, at the agency’s discretion, projects awarded a Phase I under a BAA for SBIR may transition in Phase II to STTR and vice versa. </w:t>
      </w:r>
      <w:r w:rsidR="00AB635D">
        <w:rPr>
          <w:sz w:val="22"/>
        </w:rPr>
        <w:t>Please refer</w:t>
      </w:r>
      <w:r w:rsidR="00AB635D" w:rsidRPr="00215C0D">
        <w:rPr>
          <w:sz w:val="22"/>
        </w:rPr>
        <w:t xml:space="preserve"> to instructions provided in section </w:t>
      </w:r>
      <w:r w:rsidR="00AB635D">
        <w:rPr>
          <w:sz w:val="22"/>
        </w:rPr>
        <w:t>7</w:t>
      </w:r>
      <w:r w:rsidR="00AB635D" w:rsidRPr="00215C0D">
        <w:rPr>
          <w:sz w:val="22"/>
        </w:rPr>
        <w:t>.</w:t>
      </w:r>
      <w:r w:rsidR="00AB635D">
        <w:rPr>
          <w:sz w:val="22"/>
        </w:rPr>
        <w:t>2</w:t>
      </w:r>
      <w:r w:rsidR="00AB635D" w:rsidRPr="00215C0D">
        <w:rPr>
          <w:sz w:val="22"/>
        </w:rPr>
        <w:t xml:space="preserve"> of the DoD SBIR/STTR Program BAA.</w:t>
      </w:r>
    </w:p>
    <w:p w14:paraId="2B4A6DB9" w14:textId="77777777" w:rsidR="00215C0D" w:rsidRPr="00215C0D" w:rsidRDefault="00215C0D" w:rsidP="00215C0D">
      <w:pPr>
        <w:widowControl w:val="0"/>
        <w:autoSpaceDE w:val="0"/>
        <w:autoSpaceDN w:val="0"/>
        <w:adjustRightInd w:val="0"/>
        <w:jc w:val="both"/>
        <w:rPr>
          <w:sz w:val="22"/>
        </w:rPr>
      </w:pPr>
    </w:p>
    <w:p w14:paraId="6160254D" w14:textId="77777777" w:rsidR="00215C0D" w:rsidRPr="00215C0D" w:rsidRDefault="00215C0D" w:rsidP="00215C0D">
      <w:pPr>
        <w:widowControl w:val="0"/>
        <w:autoSpaceDE w:val="0"/>
        <w:autoSpaceDN w:val="0"/>
        <w:adjustRightInd w:val="0"/>
        <w:spacing w:after="60"/>
        <w:jc w:val="both"/>
        <w:outlineLvl w:val="0"/>
        <w:rPr>
          <w:b/>
          <w:sz w:val="22"/>
        </w:rPr>
      </w:pPr>
      <w:r w:rsidRPr="00215C0D">
        <w:rPr>
          <w:b/>
          <w:sz w:val="22"/>
        </w:rPr>
        <w:t>ADDITIONAL NOTES</w:t>
      </w:r>
    </w:p>
    <w:p w14:paraId="4083E5AC" w14:textId="218F1A4D" w:rsidR="00215C0D" w:rsidRPr="00215C0D" w:rsidRDefault="00215C0D" w:rsidP="00215C0D">
      <w:pPr>
        <w:contextualSpacing/>
        <w:jc w:val="both"/>
        <w:rPr>
          <w:rFonts w:eastAsia="Times New Roman" w:cs="Times New Roman"/>
          <w:sz w:val="22"/>
        </w:rPr>
      </w:pPr>
      <w:r w:rsidRPr="00215C0D">
        <w:rPr>
          <w:rFonts w:eastAsia="Times New Roman" w:cs="Times New Roman"/>
          <w:sz w:val="22"/>
          <w:u w:val="single"/>
        </w:rPr>
        <w:t>Human Subjects, Animal Testing, and Recombinant DNA</w:t>
      </w:r>
      <w:r w:rsidRPr="00215C0D">
        <w:rPr>
          <w:rFonts w:eastAsia="Times New Roman" w:cs="Times New Roman"/>
          <w:sz w:val="22"/>
        </w:rPr>
        <w:t xml:space="preserve">.  If the use of human, animal, and recombinant DNA is included under a </w:t>
      </w:r>
      <w:r w:rsidR="00B0044F">
        <w:rPr>
          <w:rFonts w:eastAsia="Times New Roman" w:cs="Times New Roman"/>
          <w:sz w:val="22"/>
        </w:rPr>
        <w:t>DP2</w:t>
      </w:r>
      <w:r w:rsidRPr="00215C0D">
        <w:rPr>
          <w:rFonts w:eastAsia="Times New Roman" w:cs="Times New Roman"/>
          <w:sz w:val="22"/>
        </w:rPr>
        <w:t xml:space="preserve"> proposal</w:t>
      </w:r>
      <w:r w:rsidR="004D2142">
        <w:rPr>
          <w:rFonts w:eastAsia="Times New Roman" w:cs="Times New Roman"/>
          <w:sz w:val="22"/>
        </w:rPr>
        <w:t>,</w:t>
      </w:r>
      <w:r w:rsidRPr="00215C0D">
        <w:rPr>
          <w:rFonts w:eastAsia="Times New Roman" w:cs="Times New Roman"/>
          <w:sz w:val="22"/>
        </w:rPr>
        <w:t xml:space="preserve"> please carefu</w:t>
      </w:r>
      <w:r w:rsidR="00B0044F">
        <w:rPr>
          <w:rFonts w:eastAsia="Times New Roman" w:cs="Times New Roman"/>
          <w:sz w:val="22"/>
        </w:rPr>
        <w:t xml:space="preserve">lly review the requirements at: </w:t>
      </w:r>
      <w:hyperlink r:id="rId24" w:history="1">
        <w:r w:rsidRPr="00215C0D">
          <w:rPr>
            <w:rFonts w:eastAsiaTheme="majorEastAsia" w:cs="Times New Roman"/>
            <w:color w:val="0000FF"/>
            <w:sz w:val="22"/>
            <w:u w:val="single"/>
          </w:rPr>
          <w:t>http://www.onr.navy.mil/About-ONR/compliance-protections/Research-Protections/Human-Subject-Research.aspx</w:t>
        </w:r>
      </w:hyperlink>
      <w:r w:rsidRPr="00215C0D">
        <w:rPr>
          <w:rFonts w:eastAsia="Times New Roman" w:cs="Times New Roman"/>
          <w:sz w:val="22"/>
        </w:rPr>
        <w:t>. This webpage provides guidance and lists approvals that may be required before contract/work can begin.</w:t>
      </w:r>
    </w:p>
    <w:p w14:paraId="1F0EC423" w14:textId="77777777" w:rsidR="00215C0D" w:rsidRPr="00215C0D" w:rsidRDefault="00215C0D" w:rsidP="00215C0D">
      <w:pPr>
        <w:contextualSpacing/>
        <w:jc w:val="both"/>
        <w:rPr>
          <w:rFonts w:eastAsia="Times New Roman" w:cs="Times New Roman"/>
          <w:sz w:val="22"/>
        </w:rPr>
      </w:pPr>
    </w:p>
    <w:p w14:paraId="2BF20689" w14:textId="77777777" w:rsidR="00215C0D" w:rsidRPr="00B0044F" w:rsidRDefault="00215C0D" w:rsidP="00B0044F">
      <w:pPr>
        <w:contextualSpacing/>
        <w:jc w:val="both"/>
        <w:rPr>
          <w:rFonts w:eastAsia="Times New Roman" w:cs="Times New Roman"/>
          <w:sz w:val="22"/>
        </w:rPr>
      </w:pPr>
      <w:r w:rsidRPr="00215C0D">
        <w:rPr>
          <w:rFonts w:eastAsia="Times New Roman" w:cs="Times New Roman"/>
          <w:sz w:val="22"/>
          <w:u w:val="single"/>
        </w:rPr>
        <w:t>International Traffic in Arms Regulation (ITAR)</w:t>
      </w:r>
      <w:r w:rsidRPr="00215C0D">
        <w:rPr>
          <w:rFonts w:eastAsia="Times New Roman" w:cs="Times New Roman"/>
          <w:sz w:val="22"/>
        </w:rPr>
        <w:t>.  For topics indicating ITAR restrictions or the potential for classified work, limitations are generally placed on disclosure of information involving topics of a classified nature or those involving export control restrictions, which may curtail or preclude the involvement of universities and certain non-profit institutions beyond the basic research level. Small businesses must structure their proposals to clearly identify the work that will be performed that is of a basic research nature and how it can be segregated from work that falls under the classification and export control restrictions. As a result, information must also be provided on how efforts can be performed in later phases if the university/research institution is the source of critical knowledge, effort, or infrastructure (facilities and equipment).</w:t>
      </w:r>
    </w:p>
    <w:p w14:paraId="7EF18783" w14:textId="77777777" w:rsidR="00DF1F97" w:rsidRDefault="00DF1F97" w:rsidP="00215C0D">
      <w:pPr>
        <w:spacing w:after="60"/>
        <w:jc w:val="both"/>
        <w:outlineLvl w:val="0"/>
        <w:rPr>
          <w:b/>
          <w:color w:val="000000"/>
          <w:sz w:val="22"/>
        </w:rPr>
      </w:pPr>
    </w:p>
    <w:p w14:paraId="12E8B350" w14:textId="77777777" w:rsidR="00215C0D" w:rsidRPr="00215C0D" w:rsidRDefault="00215C0D" w:rsidP="00215C0D">
      <w:pPr>
        <w:spacing w:after="60"/>
        <w:jc w:val="both"/>
        <w:outlineLvl w:val="0"/>
        <w:rPr>
          <w:b/>
          <w:color w:val="000000"/>
          <w:sz w:val="22"/>
        </w:rPr>
      </w:pPr>
      <w:r w:rsidRPr="00215C0D">
        <w:rPr>
          <w:b/>
          <w:color w:val="000000"/>
          <w:sz w:val="22"/>
        </w:rPr>
        <w:t>PHASE III GUIDELINES</w:t>
      </w:r>
    </w:p>
    <w:p w14:paraId="0433CE52" w14:textId="57C7B337" w:rsidR="00215C0D" w:rsidRPr="00215C0D" w:rsidRDefault="00215C0D" w:rsidP="00215C0D">
      <w:pPr>
        <w:jc w:val="both"/>
        <w:rPr>
          <w:sz w:val="22"/>
        </w:rPr>
      </w:pPr>
      <w:r w:rsidRPr="00215C0D">
        <w:rPr>
          <w:sz w:val="22"/>
        </w:rPr>
        <w:t>A Phase III SBIR/STTR award is any work that derives from, extends, or completes effort(s) performed under prior SBIR/STTR funding agreements, but is funded by sources other than the SBIR/STTR programs. This covers any contract, grant, or agreement issued as a follow-on Phase III award or any contract, grant, or agreement award issued as a result of a competitive process where the awardee was an SBIR/STTR firm that developed the technology as a result of a Phase I or Phase II award. The DON will give Phase III status to any award that falls within the above-mentioned description, which includes assigning SBIR/STTR Technical Data Rights to any noncommercial technical data and/or noncommercial computer software delivered in Phase III that was developed under SBIR/STTR Phase I/II effort(s). Government prime contractors and/or their subcontractors must follow the same guidelines as above and ensure that companies operating on behalf of the DON protect the rights of the SBIR/STTR firm.</w:t>
      </w:r>
    </w:p>
    <w:p w14:paraId="3FEA8EAA" w14:textId="77777777" w:rsidR="00AC6701" w:rsidRDefault="00AC6701" w:rsidP="00CD16E7">
      <w:pPr>
        <w:jc w:val="center"/>
        <w:rPr>
          <w:rFonts w:cs="Times New Roman"/>
          <w:b/>
          <w:szCs w:val="24"/>
        </w:rPr>
      </w:pPr>
    </w:p>
    <w:p w14:paraId="749DC189" w14:textId="77777777" w:rsidR="00AC6701" w:rsidRDefault="00AC6701" w:rsidP="00CD16E7">
      <w:pPr>
        <w:jc w:val="center"/>
        <w:rPr>
          <w:rFonts w:cs="Times New Roman"/>
          <w:b/>
          <w:szCs w:val="24"/>
        </w:rPr>
      </w:pPr>
    </w:p>
    <w:p w14:paraId="1A8926B5" w14:textId="246FEB2C" w:rsidR="00CD16E7" w:rsidRDefault="00BF55A9" w:rsidP="00CD16E7">
      <w:pPr>
        <w:jc w:val="center"/>
        <w:rPr>
          <w:rFonts w:cs="Times New Roman"/>
          <w:b/>
          <w:szCs w:val="24"/>
        </w:rPr>
      </w:pPr>
      <w:r>
        <w:rPr>
          <w:rFonts w:cs="Times New Roman"/>
          <w:b/>
          <w:szCs w:val="24"/>
        </w:rPr>
        <w:lastRenderedPageBreak/>
        <w:t xml:space="preserve">NAVY </w:t>
      </w:r>
    </w:p>
    <w:p w14:paraId="0BF8D14F" w14:textId="67420B51" w:rsidR="00BF55A9" w:rsidRDefault="00CD16E7" w:rsidP="00CD16E7">
      <w:pPr>
        <w:jc w:val="center"/>
      </w:pPr>
      <w:r>
        <w:rPr>
          <w:rFonts w:cs="Times New Roman"/>
          <w:b/>
          <w:szCs w:val="24"/>
        </w:rPr>
        <w:t xml:space="preserve">NAVY </w:t>
      </w:r>
      <w:r w:rsidR="00BF55A9">
        <w:rPr>
          <w:rFonts w:cs="Times New Roman"/>
          <w:b/>
          <w:szCs w:val="24"/>
        </w:rPr>
        <w:t xml:space="preserve">SBIR </w:t>
      </w:r>
      <w:r>
        <w:rPr>
          <w:rFonts w:cs="Times New Roman"/>
          <w:b/>
          <w:szCs w:val="24"/>
        </w:rPr>
        <w:t>D</w:t>
      </w:r>
      <w:r w:rsidR="00BF55A9">
        <w:rPr>
          <w:rFonts w:cs="Times New Roman"/>
          <w:b/>
          <w:szCs w:val="24"/>
        </w:rPr>
        <w:t>irect to Phase II 20.</w:t>
      </w:r>
      <w:r>
        <w:rPr>
          <w:rFonts w:cs="Times New Roman"/>
          <w:b/>
          <w:szCs w:val="24"/>
        </w:rPr>
        <w:t>2</w:t>
      </w:r>
      <w:r w:rsidR="00BF55A9">
        <w:rPr>
          <w:rFonts w:cs="Times New Roman"/>
          <w:b/>
          <w:szCs w:val="24"/>
        </w:rPr>
        <w:t xml:space="preserve"> Topic Index</w:t>
      </w:r>
    </w:p>
    <w:p w14:paraId="53FF80B0" w14:textId="64868934" w:rsidR="00BF55A9" w:rsidRDefault="00BF55A9" w:rsidP="008D41D9">
      <w:pPr>
        <w:rPr>
          <w:rFonts w:cs="Times New Roman"/>
          <w:b/>
          <w:szCs w:val="24"/>
        </w:rPr>
      </w:pPr>
    </w:p>
    <w:tbl>
      <w:tblPr>
        <w:tblW w:w="5000" w:type="auto"/>
        <w:tblLook w:val="04A0" w:firstRow="1" w:lastRow="0" w:firstColumn="1" w:lastColumn="0" w:noHBand="0" w:noVBand="1"/>
      </w:tblPr>
      <w:tblGrid>
        <w:gridCol w:w="1650"/>
        <w:gridCol w:w="7710"/>
      </w:tblGrid>
      <w:tr w:rsidR="00ED2341" w14:paraId="5563FBE7" w14:textId="77777777" w:rsidTr="00B5481F">
        <w:tc>
          <w:tcPr>
            <w:tcW w:w="1650" w:type="dxa"/>
          </w:tcPr>
          <w:p w14:paraId="7A3157D1" w14:textId="22621351" w:rsidR="00ED2341" w:rsidRPr="00CD16E7" w:rsidRDefault="00ED2341" w:rsidP="00B5481F">
            <w:pPr>
              <w:rPr>
                <w:sz w:val="22"/>
              </w:rPr>
            </w:pPr>
            <w:r w:rsidRPr="00CD16E7">
              <w:rPr>
                <w:rFonts w:cs="Times New Roman"/>
                <w:sz w:val="22"/>
              </w:rPr>
              <w:t>N20</w:t>
            </w:r>
            <w:r w:rsidR="00CD16E7" w:rsidRPr="00CD16E7">
              <w:rPr>
                <w:rFonts w:cs="Times New Roman"/>
                <w:sz w:val="22"/>
              </w:rPr>
              <w:t>2</w:t>
            </w:r>
            <w:r w:rsidRPr="00CD16E7">
              <w:rPr>
                <w:rFonts w:cs="Times New Roman"/>
                <w:sz w:val="22"/>
              </w:rPr>
              <w:t>-D0</w:t>
            </w:r>
            <w:r w:rsidR="00B74CA7">
              <w:rPr>
                <w:rFonts w:cs="Times New Roman"/>
                <w:sz w:val="22"/>
              </w:rPr>
              <w:t>2</w:t>
            </w:r>
          </w:p>
        </w:tc>
        <w:tc>
          <w:tcPr>
            <w:tcW w:w="2310" w:type="auto"/>
          </w:tcPr>
          <w:p w14:paraId="5202EDA7" w14:textId="77777777" w:rsidR="00ED2341" w:rsidRPr="00CD16E7" w:rsidRDefault="00ED2341" w:rsidP="00B5481F">
            <w:pPr>
              <w:rPr>
                <w:sz w:val="22"/>
              </w:rPr>
            </w:pPr>
            <w:r w:rsidRPr="00CD16E7">
              <w:rPr>
                <w:rFonts w:cs="Times New Roman"/>
                <w:sz w:val="22"/>
              </w:rPr>
              <w:t>DIRECT TO PHASE II Exportable Power for Ultra Lightweight Tactical Vehicle (ULTV)</w:t>
            </w:r>
          </w:p>
        </w:tc>
      </w:tr>
    </w:tbl>
    <w:p w14:paraId="184A6C81" w14:textId="43BEB1B4" w:rsidR="00ED2341" w:rsidRDefault="00ED2341" w:rsidP="008D41D9">
      <w:pPr>
        <w:rPr>
          <w:rFonts w:cs="Times New Roman"/>
          <w:b/>
          <w:szCs w:val="24"/>
        </w:rPr>
      </w:pPr>
    </w:p>
    <w:p w14:paraId="755B93A8" w14:textId="427BDFB2" w:rsidR="00ED2341" w:rsidRDefault="00AC6701" w:rsidP="008D41D9">
      <w:pPr>
        <w:rPr>
          <w:rFonts w:cs="Times New Roman"/>
          <w:b/>
          <w:szCs w:val="24"/>
        </w:rPr>
      </w:pPr>
      <w:r>
        <w:rPr>
          <w:rFonts w:cs="Times New Roman"/>
          <w:b/>
          <w:szCs w:val="24"/>
        </w:rPr>
        <w:br w:type="page"/>
      </w:r>
    </w:p>
    <w:tbl>
      <w:tblPr>
        <w:tblW w:w="5000" w:type="auto"/>
        <w:tblLook w:val="04A0" w:firstRow="1" w:lastRow="0" w:firstColumn="1" w:lastColumn="0" w:noHBand="0" w:noVBand="1"/>
      </w:tblPr>
      <w:tblGrid>
        <w:gridCol w:w="1650"/>
        <w:gridCol w:w="7710"/>
      </w:tblGrid>
      <w:tr w:rsidR="00FE76AC" w:rsidRPr="00CD16E7" w14:paraId="6E7B0F06" w14:textId="77777777" w:rsidTr="00B5481F">
        <w:tc>
          <w:tcPr>
            <w:tcW w:w="1650" w:type="dxa"/>
          </w:tcPr>
          <w:p w14:paraId="1EA4FD42" w14:textId="3A179507" w:rsidR="00FE76AC" w:rsidRPr="00CD16E7" w:rsidRDefault="00FE76AC" w:rsidP="00B5481F">
            <w:pPr>
              <w:rPr>
                <w:sz w:val="22"/>
              </w:rPr>
            </w:pPr>
            <w:r w:rsidRPr="00CD16E7">
              <w:rPr>
                <w:rFonts w:cs="Times New Roman"/>
                <w:sz w:val="22"/>
              </w:rPr>
              <w:lastRenderedPageBreak/>
              <w:t>N20</w:t>
            </w:r>
            <w:r w:rsidR="00CD16E7" w:rsidRPr="00CD16E7">
              <w:rPr>
                <w:rFonts w:cs="Times New Roman"/>
                <w:sz w:val="22"/>
              </w:rPr>
              <w:t>2</w:t>
            </w:r>
            <w:r w:rsidRPr="00CD16E7">
              <w:rPr>
                <w:rFonts w:cs="Times New Roman"/>
                <w:sz w:val="22"/>
              </w:rPr>
              <w:t>-D0</w:t>
            </w:r>
            <w:r w:rsidR="00B74CA7">
              <w:rPr>
                <w:rFonts w:cs="Times New Roman"/>
                <w:sz w:val="22"/>
              </w:rPr>
              <w:t>2</w:t>
            </w:r>
          </w:p>
        </w:tc>
        <w:tc>
          <w:tcPr>
            <w:tcW w:w="2310" w:type="auto"/>
          </w:tcPr>
          <w:p w14:paraId="3A94833A" w14:textId="77777777" w:rsidR="00FE76AC" w:rsidRPr="00CD16E7" w:rsidRDefault="00FE76AC" w:rsidP="00B5481F">
            <w:pPr>
              <w:rPr>
                <w:sz w:val="22"/>
              </w:rPr>
            </w:pPr>
            <w:r w:rsidRPr="00CD16E7">
              <w:rPr>
                <w:rFonts w:cs="Times New Roman"/>
                <w:sz w:val="22"/>
              </w:rPr>
              <w:t>TITLE: DIRECT TO PHASE II Exportable Power for Ultra Lightweight Tactical Vehicle (ULTV)</w:t>
            </w:r>
          </w:p>
        </w:tc>
      </w:tr>
    </w:tbl>
    <w:p w14:paraId="01FC59E9" w14:textId="77777777" w:rsidR="00FE76AC" w:rsidRPr="00CD16E7" w:rsidRDefault="00FE76AC" w:rsidP="00FE76AC">
      <w:pPr>
        <w:rPr>
          <w:sz w:val="22"/>
        </w:rPr>
      </w:pPr>
    </w:p>
    <w:p w14:paraId="388F5C8B" w14:textId="10055244" w:rsidR="00FA711F" w:rsidRDefault="00FA711F" w:rsidP="00FE76AC">
      <w:pPr>
        <w:rPr>
          <w:rFonts w:cs="Times New Roman"/>
          <w:sz w:val="22"/>
        </w:rPr>
      </w:pPr>
      <w:r>
        <w:rPr>
          <w:rFonts w:cs="Times New Roman"/>
          <w:sz w:val="22"/>
        </w:rPr>
        <w:t>RT&amp;L FOCUS AREA(S): General Warfighting Requirements</w:t>
      </w:r>
    </w:p>
    <w:p w14:paraId="4911F585" w14:textId="46795A70" w:rsidR="00FE76AC" w:rsidRPr="00CD16E7" w:rsidRDefault="00FE76AC" w:rsidP="00FE76AC">
      <w:pPr>
        <w:rPr>
          <w:sz w:val="22"/>
        </w:rPr>
      </w:pPr>
      <w:r w:rsidRPr="00CD16E7">
        <w:rPr>
          <w:rFonts w:cs="Times New Roman"/>
          <w:sz w:val="22"/>
        </w:rPr>
        <w:t>TECHNOLOGY AREA(S): Ground/Sea Vehicles</w:t>
      </w:r>
      <w:r w:rsidRPr="00CD16E7">
        <w:rPr>
          <w:rFonts w:cs="Times New Roman"/>
          <w:sz w:val="22"/>
        </w:rPr>
        <w:br/>
      </w:r>
    </w:p>
    <w:p w14:paraId="5104B9CC" w14:textId="77777777" w:rsidR="00FE76AC" w:rsidRPr="00CD16E7" w:rsidRDefault="00FE76AC" w:rsidP="00FE76AC">
      <w:pPr>
        <w:rPr>
          <w:sz w:val="22"/>
        </w:rPr>
      </w:pPr>
      <w:r w:rsidRPr="00CD16E7">
        <w:rPr>
          <w:rFonts w:cs="Times New Roman"/>
          <w:sz w:val="22"/>
        </w:rPr>
        <w:t>ACQUISITION PROGRAM: USMC PEO Land Systems, PM Ground Based Air Defense (GBAD), SMC PEO Land Systems, PM LTV</w:t>
      </w:r>
      <w:r w:rsidRPr="00CD16E7">
        <w:rPr>
          <w:rFonts w:cs="Times New Roman"/>
          <w:sz w:val="22"/>
        </w:rPr>
        <w:br/>
      </w:r>
    </w:p>
    <w:p w14:paraId="3D58A6B8" w14:textId="77777777" w:rsidR="00FE76AC" w:rsidRPr="00CD16E7" w:rsidRDefault="00FE76AC" w:rsidP="00FE76AC">
      <w:pPr>
        <w:rPr>
          <w:sz w:val="22"/>
        </w:rPr>
      </w:pPr>
      <w:r w:rsidRPr="00CD16E7">
        <w:rPr>
          <w:rFonts w:cs="Times New Roman"/>
          <w:sz w:val="22"/>
        </w:rPr>
        <w:t>OBJECTIVE: Develop a compact, lightweight, engine-driven power generation system for vehicle and export electrical power with high specific power (kilowatts per kilogram) that fits within the confines of the chassis of recreational off-highway vehicles (ROVs) to meet expected power and energy demands and allow for future mission growth.</w:t>
      </w:r>
      <w:r w:rsidRPr="00CD16E7">
        <w:rPr>
          <w:rFonts w:cs="Times New Roman"/>
          <w:sz w:val="22"/>
        </w:rPr>
        <w:br/>
      </w:r>
    </w:p>
    <w:p w14:paraId="2FA3BF4D" w14:textId="77777777" w:rsidR="00086FA9" w:rsidRDefault="00FE76AC" w:rsidP="00FE76AC">
      <w:pPr>
        <w:rPr>
          <w:rFonts w:cs="Times New Roman"/>
          <w:sz w:val="22"/>
        </w:rPr>
      </w:pPr>
      <w:r w:rsidRPr="00CD16E7">
        <w:rPr>
          <w:rFonts w:cs="Times New Roman"/>
          <w:sz w:val="22"/>
        </w:rPr>
        <w:t>DESCRIPTION: Currently available vehicles capable of being internally transported in rotary wing aircraft have insufficient export power capabilities to meet power and energy demands of current Counter-Unmanned Aerial Systems (C-UASs) and allow for future mission growth. The current Light Marine Air Defense Integrated System (LMADIS) uses a 5 kilowatts (kW) diesel generator weighing 300 lbs. that results in the vehicle weighing 15 lbs. over the maximum gross vehicle weight (GVW) of the current ULTV. Future mission growth to add additional communications equipment to LMADIS is expected to increase the power demands to 10 kW. Currently available diesel generators that meet the higher power requirements weigh close to 500 pounds (</w:t>
      </w:r>
      <w:proofErr w:type="spellStart"/>
      <w:r w:rsidRPr="00CD16E7">
        <w:rPr>
          <w:rFonts w:cs="Times New Roman"/>
          <w:sz w:val="22"/>
        </w:rPr>
        <w:t>lbs</w:t>
      </w:r>
      <w:proofErr w:type="spellEnd"/>
      <w:r w:rsidRPr="00CD16E7">
        <w:rPr>
          <w:rFonts w:cs="Times New Roman"/>
          <w:sz w:val="22"/>
        </w:rPr>
        <w:t>). and would result in the vehicle weighing 100 to 150 lbs. over maximum GVW. Compact and lightweight power generation systems are needed to power C-UAS and C2 systems and keep the vehicle safely within its allowable GVW. The system requirements are:</w:t>
      </w:r>
      <w:r w:rsidRPr="00CD16E7">
        <w:rPr>
          <w:rFonts w:cs="Times New Roman"/>
          <w:sz w:val="22"/>
        </w:rPr>
        <w:br/>
        <w:t>• Integrated system using the existing vehicle engine (current engine is approximately 85 horsepower)</w:t>
      </w:r>
      <w:r w:rsidRPr="00CD16E7">
        <w:rPr>
          <w:rFonts w:cs="Times New Roman"/>
          <w:sz w:val="22"/>
        </w:rPr>
        <w:br/>
        <w:t xml:space="preserve">• </w:t>
      </w:r>
      <w:r w:rsidR="00086FA9" w:rsidRPr="00086FA9">
        <w:rPr>
          <w:rFonts w:cs="Times New Roman"/>
          <w:sz w:val="22"/>
        </w:rPr>
        <w:t>Export power output of 5 kW at idle Threshold (T); 10 kW at idle Objective (O) at 28 volts direct current (VDC)</w:t>
      </w:r>
    </w:p>
    <w:p w14:paraId="0D00B1FF" w14:textId="09341F5C" w:rsidR="00FE76AC" w:rsidRPr="00CD16E7" w:rsidRDefault="00FE76AC" w:rsidP="00FE76AC">
      <w:pPr>
        <w:rPr>
          <w:sz w:val="22"/>
        </w:rPr>
      </w:pPr>
      <w:bookmarkStart w:id="1" w:name="_GoBack"/>
      <w:bookmarkEnd w:id="1"/>
      <w:r w:rsidRPr="00CD16E7">
        <w:rPr>
          <w:rFonts w:cs="Times New Roman"/>
          <w:sz w:val="22"/>
        </w:rPr>
        <w:t>• Reduced physical size of export power system (same approximate size as an alternator, 8 inches wide x 10 inches long x 8 inches high)</w:t>
      </w:r>
      <w:r w:rsidRPr="00CD16E7">
        <w:rPr>
          <w:rFonts w:cs="Times New Roman"/>
          <w:sz w:val="22"/>
        </w:rPr>
        <w:br/>
        <w:t>• Physical weight of export power system less than 225 lbs.</w:t>
      </w:r>
      <w:r w:rsidRPr="00CD16E7">
        <w:rPr>
          <w:rFonts w:cs="Times New Roman"/>
          <w:sz w:val="22"/>
        </w:rPr>
        <w:br/>
        <w:t xml:space="preserve">• </w:t>
      </w:r>
      <w:r w:rsidR="00086FA9" w:rsidRPr="00086FA9">
        <w:rPr>
          <w:rFonts w:cs="Times New Roman"/>
          <w:sz w:val="22"/>
        </w:rPr>
        <w:t>Compatible with typical 24/28VDC tactical electrical systems and 12/14VDC vehicle electrical systems</w:t>
      </w:r>
      <w:r w:rsidRPr="00CD16E7">
        <w:rPr>
          <w:rFonts w:cs="Times New Roman"/>
          <w:sz w:val="22"/>
        </w:rPr>
        <w:br/>
        <w:t>• Electrical component and connections with an ingress protection rating of Ingress Protection( IP67) or higher in accordance with (IAW) American National Standards Institute (ANSI) / International Electrotechnical Commission (IEC) 60529-2004</w:t>
      </w:r>
      <w:r w:rsidRPr="00CD16E7">
        <w:rPr>
          <w:rFonts w:cs="Times New Roman"/>
          <w:sz w:val="22"/>
        </w:rPr>
        <w:br/>
        <w:t>• Modular design that can be inspected, serviced, and repaired in the field</w:t>
      </w:r>
      <w:r w:rsidRPr="00CD16E7">
        <w:rPr>
          <w:rFonts w:cs="Times New Roman"/>
          <w:sz w:val="22"/>
        </w:rPr>
        <w:br/>
        <w:t xml:space="preserve">• Full power output across the range of engine speeds, </w:t>
      </w:r>
      <w:r w:rsidR="00B40638">
        <w:rPr>
          <w:rFonts w:cs="Times New Roman"/>
          <w:sz w:val="22"/>
        </w:rPr>
        <w:t>1,0</w:t>
      </w:r>
      <w:r w:rsidRPr="00CD16E7">
        <w:rPr>
          <w:rFonts w:cs="Times New Roman"/>
          <w:sz w:val="22"/>
        </w:rPr>
        <w:t>00-4,000 Revolutions Per Minute (RPM)</w:t>
      </w:r>
      <w:r w:rsidRPr="00CD16E7">
        <w:rPr>
          <w:rFonts w:cs="Times New Roman"/>
          <w:sz w:val="22"/>
        </w:rPr>
        <w:br/>
      </w:r>
    </w:p>
    <w:p w14:paraId="6EB92C3F" w14:textId="5BC360AA" w:rsidR="00FE76AC" w:rsidRPr="00CD16E7" w:rsidRDefault="00FE76AC" w:rsidP="00FE76AC">
      <w:pPr>
        <w:rPr>
          <w:sz w:val="22"/>
        </w:rPr>
      </w:pPr>
      <w:r w:rsidRPr="00CD16E7">
        <w:rPr>
          <w:rFonts w:cs="Times New Roman"/>
          <w:sz w:val="22"/>
        </w:rPr>
        <w:t>PHASE I: For this Direct to Phase II (DP2) topic, the Government expects that the small business would have accomplished the following in a Phase I-type effort. It must have developed a concept for a workable prototype or design to address at a minimum the basic requirements of the stated objective above.</w:t>
      </w:r>
      <w:r w:rsidRPr="00CD16E7">
        <w:rPr>
          <w:rFonts w:cs="Times New Roman"/>
          <w:sz w:val="22"/>
        </w:rPr>
        <w:br/>
        <w:t>Documentation showing an engine driven power generation system concept is feasible and that the system requirements discussed in the description are in the realm of possible. The small business should have produced a model to evaluate different approaches to optimize on vehicle generator technologies. The small business should show they have identified higher power density electrical generator/alternator designs to at least double power output in a similar form factor when compared to existing military alternators.</w:t>
      </w:r>
      <w:r w:rsidRPr="00CD16E7">
        <w:rPr>
          <w:rFonts w:cs="Times New Roman"/>
          <w:sz w:val="22"/>
        </w:rPr>
        <w:br/>
      </w:r>
      <w:r w:rsidRPr="00CD16E7">
        <w:rPr>
          <w:rFonts w:cs="Times New Roman"/>
          <w:sz w:val="22"/>
        </w:rPr>
        <w:br/>
        <w:t xml:space="preserve">FEASIBILITY DOCUMENTATION: Proposers interested in participating in Direct to Phase II must include in their responses to this topic Phase I feasibility documentation that substantiates the scientific </w:t>
      </w:r>
      <w:r w:rsidRPr="00CD16E7">
        <w:rPr>
          <w:rFonts w:cs="Times New Roman"/>
          <w:sz w:val="22"/>
        </w:rPr>
        <w:lastRenderedPageBreak/>
        <w:t>and technical merit and Phase I feasibility described in Phase I above has been met (i.e., the small business must have performed Phase I-type research and development related to the topic, but feasibility documentation MUST NOT be solely based on work performed under prior or ongoing federally funded SBIR/STTR work) and describe the potential commercialization applications. The documentation provided must validate that the proposer has completed development of technology as stated in Phase I above. Documentation should include all relevant information including, but not limited to: technical reports, test data, prototype designs/models, and performance goals/results. Work submitted within the feasibility documentation must have been substantially performed by the proposer and/or the principal investigator (PI). Read and follow all of the DON SBIR 20.</w:t>
      </w:r>
      <w:r w:rsidR="00CD16E7">
        <w:rPr>
          <w:rFonts w:cs="Times New Roman"/>
          <w:sz w:val="22"/>
        </w:rPr>
        <w:t>2</w:t>
      </w:r>
      <w:r w:rsidRPr="00CD16E7">
        <w:rPr>
          <w:rFonts w:cs="Times New Roman"/>
          <w:sz w:val="22"/>
        </w:rPr>
        <w:t xml:space="preserve"> Direct to Phase II Broad Area Announcement (BAA) Instructions. Phase I proposals will NOT be accepted for this BAA.</w:t>
      </w:r>
      <w:r w:rsidRPr="00CD16E7">
        <w:rPr>
          <w:rFonts w:cs="Times New Roman"/>
          <w:sz w:val="22"/>
        </w:rPr>
        <w:br/>
      </w:r>
    </w:p>
    <w:p w14:paraId="50E357F5" w14:textId="4339079C" w:rsidR="00FE76AC" w:rsidRPr="00CD16E7" w:rsidRDefault="00FE76AC" w:rsidP="00FE76AC">
      <w:pPr>
        <w:rPr>
          <w:sz w:val="22"/>
        </w:rPr>
      </w:pPr>
      <w:r w:rsidRPr="00CD16E7">
        <w:rPr>
          <w:rFonts w:cs="Times New Roman"/>
          <w:sz w:val="22"/>
        </w:rPr>
        <w:t xml:space="preserve">PHASE II: Based on the Phase I equivalent effort and the Phase II plan, develop and use analytical modeling to assist in design and integration. Build prototypes for both fitment and functionality of power generation system. </w:t>
      </w:r>
      <w:r w:rsidR="00103F70" w:rsidRPr="00103F70">
        <w:rPr>
          <w:rFonts w:cs="Times New Roman"/>
          <w:sz w:val="22"/>
        </w:rPr>
        <w:t xml:space="preserve">Support evaluation of prototypes to determine if the performance goals defined in the Phase II development plan and the requirements outlined in MIL-STD-1275E, MIL-STD-1332B, and MIL-STD-810H have been met. </w:t>
      </w:r>
      <w:r w:rsidRPr="00CD16E7">
        <w:rPr>
          <w:rFonts w:cs="Times New Roman"/>
          <w:sz w:val="22"/>
        </w:rPr>
        <w:t>Demonstrate system performance through modeling and dynamometer testing. Refine the design based on the results of testing/modeling and support on vehicle testing. Prepare a Phase III plan to transition the technology to the Marine Corps and the commercial marketplace.</w:t>
      </w:r>
      <w:r w:rsidRPr="00CD16E7">
        <w:rPr>
          <w:rFonts w:cs="Times New Roman"/>
          <w:sz w:val="22"/>
        </w:rPr>
        <w:br/>
      </w:r>
    </w:p>
    <w:p w14:paraId="3CB24193" w14:textId="7F66BAC8" w:rsidR="00FE76AC" w:rsidRPr="00CD16E7" w:rsidRDefault="00FE76AC" w:rsidP="00FE76AC">
      <w:pPr>
        <w:rPr>
          <w:sz w:val="22"/>
        </w:rPr>
      </w:pPr>
      <w:r w:rsidRPr="00CD16E7">
        <w:rPr>
          <w:rFonts w:cs="Times New Roman"/>
          <w:sz w:val="22"/>
        </w:rPr>
        <w:t>PHASE III DUAL USE APPLICATIONS: Upon successful completion of Phase II, provide support to the Marine Corps in transitioning the technology for Marine Corps use. Refine a power generation system for evaluation and determine its effectiveness in an operationally relevant environment. Support the Marine Corps test and evaluation program to qualify the system for the Marine Corps use.</w:t>
      </w:r>
      <w:r w:rsidRPr="00CD16E7">
        <w:rPr>
          <w:rFonts w:cs="Times New Roman"/>
          <w:sz w:val="22"/>
        </w:rPr>
        <w:br/>
      </w:r>
      <w:r w:rsidRPr="00CD16E7">
        <w:rPr>
          <w:rFonts w:cs="Times New Roman"/>
          <w:sz w:val="22"/>
        </w:rPr>
        <w:br/>
        <w:t>Commercial applications include law enforcement vehicles, search and rescue vehicles, tractor trailers, and general automotive to reduce vehicle weight and improve fuel economy.</w:t>
      </w:r>
      <w:r w:rsidRPr="00CD16E7">
        <w:rPr>
          <w:rFonts w:cs="Times New Roman"/>
          <w:sz w:val="22"/>
        </w:rPr>
        <w:br/>
      </w:r>
    </w:p>
    <w:p w14:paraId="1D8A69A3" w14:textId="77777777" w:rsidR="00FE76AC" w:rsidRPr="00CD16E7" w:rsidRDefault="00FE76AC" w:rsidP="00FE76AC">
      <w:pPr>
        <w:rPr>
          <w:sz w:val="22"/>
        </w:rPr>
      </w:pPr>
      <w:r w:rsidRPr="00CD16E7">
        <w:rPr>
          <w:rFonts w:cs="Times New Roman"/>
          <w:sz w:val="22"/>
        </w:rPr>
        <w:t>REFERENCES:</w:t>
      </w:r>
    </w:p>
    <w:p w14:paraId="620365C2" w14:textId="33F58061" w:rsidR="00FE76AC" w:rsidRPr="00CD16E7" w:rsidRDefault="00FE76AC" w:rsidP="00FE76AC">
      <w:pPr>
        <w:rPr>
          <w:sz w:val="22"/>
        </w:rPr>
      </w:pPr>
      <w:r w:rsidRPr="00CD16E7">
        <w:rPr>
          <w:rFonts w:cs="Times New Roman"/>
          <w:sz w:val="22"/>
        </w:rPr>
        <w:t xml:space="preserve">1. “MIL-STD-810H - Environmental Engineering Considerations and Laboratory Tests”. U.S. Army Test and Evaluation Command, January 31, 2019.  </w:t>
      </w:r>
      <w:hyperlink r:id="rId25" w:history="1">
        <w:r w:rsidR="00321043" w:rsidRPr="00321043">
          <w:rPr>
            <w:rFonts w:eastAsia="Calibri" w:cs="Times New Roman"/>
            <w:color w:val="0563C1"/>
            <w:u w:val="single"/>
          </w:rPr>
          <w:t>https://quicksearch.dla.mil/qsDocDetails.aspx?ident_number=35978</w:t>
        </w:r>
      </w:hyperlink>
      <w:r w:rsidRPr="00CD16E7">
        <w:rPr>
          <w:rFonts w:cs="Times New Roman"/>
          <w:sz w:val="22"/>
        </w:rPr>
        <w:br/>
      </w:r>
    </w:p>
    <w:p w14:paraId="3763B19F" w14:textId="51AD2C78" w:rsidR="00FE76AC" w:rsidRPr="00CD16E7" w:rsidRDefault="00FE76AC" w:rsidP="00FE76AC">
      <w:pPr>
        <w:rPr>
          <w:sz w:val="22"/>
        </w:rPr>
      </w:pPr>
      <w:r w:rsidRPr="00CD16E7">
        <w:rPr>
          <w:rFonts w:cs="Times New Roman"/>
          <w:sz w:val="22"/>
        </w:rPr>
        <w:t xml:space="preserve">2. “MIL-STD-1275E Characteristics of 28 Volt DC Input Power to Utilization Equipment in Military Vehicles.” U.S. Army Tank automotive and Armaments Command, March 22, 2013. </w:t>
      </w:r>
      <w:hyperlink r:id="rId26" w:history="1">
        <w:r w:rsidR="005B55B7" w:rsidRPr="005B55B7">
          <w:rPr>
            <w:rFonts w:eastAsia="Calibri" w:cs="Times New Roman"/>
            <w:color w:val="0563C1"/>
            <w:u w:val="single"/>
          </w:rPr>
          <w:t>https://quicksearch.dla.mil/qsDocDetails.aspx?ident_number=36186</w:t>
        </w:r>
      </w:hyperlink>
      <w:r w:rsidR="005B55B7">
        <w:rPr>
          <w:rFonts w:eastAsia="Calibri" w:cs="Times New Roman"/>
        </w:rPr>
        <w:t xml:space="preserve"> </w:t>
      </w:r>
      <w:r w:rsidRPr="00CD16E7">
        <w:rPr>
          <w:rFonts w:cs="Times New Roman"/>
          <w:sz w:val="22"/>
        </w:rPr>
        <w:br/>
      </w:r>
    </w:p>
    <w:p w14:paraId="06A1FB0E" w14:textId="7266C52E" w:rsidR="00FE76AC" w:rsidRPr="00CD16E7" w:rsidRDefault="00FE76AC" w:rsidP="00FE76AC">
      <w:pPr>
        <w:rPr>
          <w:sz w:val="22"/>
        </w:rPr>
      </w:pPr>
      <w:r w:rsidRPr="00CD16E7">
        <w:rPr>
          <w:rFonts w:cs="Times New Roman"/>
          <w:sz w:val="22"/>
        </w:rPr>
        <w:t xml:space="preserve">3. “Test Operations Procedure (TOP) 2-2-601 Electrical Systems (Vehicles and Weapon Subsystems)”. U.S. Army Developmental Test Command Test Operations Procedure, US Army Aberdeen Test Center, June 20, 1977. </w:t>
      </w:r>
      <w:hyperlink r:id="rId27" w:history="1">
        <w:r w:rsidR="00321043" w:rsidRPr="006A1C68">
          <w:rPr>
            <w:rStyle w:val="Hyperlink"/>
            <w:rFonts w:cs="Times New Roman"/>
            <w:sz w:val="22"/>
          </w:rPr>
          <w:t>https://apps.dtic.mil/dtic/tr/fulltext/u2/a045343.pdf</w:t>
        </w:r>
      </w:hyperlink>
      <w:r w:rsidR="00321043">
        <w:rPr>
          <w:rFonts w:cs="Times New Roman"/>
          <w:sz w:val="22"/>
        </w:rPr>
        <w:t xml:space="preserve"> </w:t>
      </w:r>
      <w:r w:rsidRPr="00CD16E7">
        <w:rPr>
          <w:rFonts w:cs="Times New Roman"/>
          <w:sz w:val="22"/>
        </w:rPr>
        <w:br/>
      </w:r>
    </w:p>
    <w:p w14:paraId="76CFAC99" w14:textId="77777777" w:rsidR="002E767F" w:rsidRDefault="00FE76AC" w:rsidP="00FE76AC">
      <w:pPr>
        <w:rPr>
          <w:rFonts w:cs="Times New Roman"/>
          <w:sz w:val="22"/>
        </w:rPr>
      </w:pPr>
      <w:r w:rsidRPr="00CD16E7">
        <w:rPr>
          <w:rFonts w:cs="Times New Roman"/>
          <w:sz w:val="22"/>
        </w:rPr>
        <w:t xml:space="preserve">4. “ANSI/IEC 60529-2004 Degrees of Protection Provided by Enclosures (IP Code)”.  </w:t>
      </w:r>
      <w:hyperlink r:id="rId28" w:history="1">
        <w:r w:rsidR="00321043" w:rsidRPr="006A1C68">
          <w:rPr>
            <w:rStyle w:val="Hyperlink"/>
            <w:rFonts w:cs="Times New Roman"/>
            <w:sz w:val="22"/>
          </w:rPr>
          <w:t>https://www.nema.org/Standards/ComplimentaryDocuments/ANSI-IEC-60529.pdf</w:t>
        </w:r>
      </w:hyperlink>
      <w:r w:rsidR="00321043">
        <w:rPr>
          <w:rFonts w:cs="Times New Roman"/>
          <w:sz w:val="22"/>
        </w:rPr>
        <w:t xml:space="preserve"> </w:t>
      </w:r>
    </w:p>
    <w:p w14:paraId="3C086ED6" w14:textId="77777777" w:rsidR="002E767F" w:rsidRDefault="002E767F" w:rsidP="00FE76AC">
      <w:pPr>
        <w:rPr>
          <w:rFonts w:cs="Times New Roman"/>
          <w:sz w:val="22"/>
        </w:rPr>
      </w:pPr>
    </w:p>
    <w:p w14:paraId="095E7524" w14:textId="77777777" w:rsidR="002E767F" w:rsidRPr="002E767F" w:rsidRDefault="002E767F" w:rsidP="002E767F">
      <w:pPr>
        <w:spacing w:after="240"/>
        <w:rPr>
          <w:rFonts w:eastAsia="Times New Roman" w:cs="Times New Roman"/>
          <w:szCs w:val="24"/>
        </w:rPr>
      </w:pPr>
      <w:r w:rsidRPr="002E767F">
        <w:rPr>
          <w:rFonts w:eastAsia="Times New Roman" w:cs="Times New Roman"/>
          <w:sz w:val="22"/>
        </w:rPr>
        <w:t xml:space="preserve">5. “MIL-STD-1332B Definitions of Tactical, Prime, Precise, And Utility Terminologies For Classification Of The DoD Mobile Electric Power Engine Generator Set Family”. Naval Facilities Engineering Command, US Naval Construction Battalion Center, March 13, 1973. </w:t>
      </w:r>
      <w:hyperlink r:id="rId29" w:history="1">
        <w:r w:rsidRPr="002E767F">
          <w:rPr>
            <w:rFonts w:eastAsia="Times New Roman" w:cs="Times New Roman"/>
            <w:color w:val="0000FF"/>
            <w:sz w:val="22"/>
            <w:u w:val="single"/>
          </w:rPr>
          <w:t>https://quicksearch.dla.mil/qsDocDetails.aspx?ident_number=36687</w:t>
        </w:r>
      </w:hyperlink>
      <w:r w:rsidRPr="002E767F">
        <w:rPr>
          <w:rFonts w:eastAsia="Times New Roman" w:cs="Times New Roman"/>
          <w:sz w:val="22"/>
        </w:rPr>
        <w:t xml:space="preserve"> </w:t>
      </w:r>
    </w:p>
    <w:p w14:paraId="0F28F6D8" w14:textId="181D6DC2" w:rsidR="00FE76AC" w:rsidRPr="00CD16E7" w:rsidRDefault="00FE76AC" w:rsidP="00FE76AC">
      <w:pPr>
        <w:rPr>
          <w:sz w:val="22"/>
        </w:rPr>
      </w:pPr>
      <w:r w:rsidRPr="00CD16E7">
        <w:rPr>
          <w:rFonts w:cs="Times New Roman"/>
          <w:sz w:val="22"/>
        </w:rPr>
        <w:br/>
      </w:r>
    </w:p>
    <w:p w14:paraId="31927D22" w14:textId="5D3006B4" w:rsidR="00FE76AC" w:rsidRDefault="00FE76AC" w:rsidP="00FE76AC">
      <w:pPr>
        <w:rPr>
          <w:sz w:val="22"/>
        </w:rPr>
      </w:pPr>
      <w:r w:rsidRPr="00CD16E7">
        <w:rPr>
          <w:rFonts w:cs="Times New Roman"/>
          <w:sz w:val="22"/>
        </w:rPr>
        <w:lastRenderedPageBreak/>
        <w:t>KEYWORDS: Tactical Vehicle; Power Generation; Weight Reduction; Size Reduction; ULTV; UTV; LMADIS; NOTM-UTV; Permanent Magnet Generator; Exportable Power; Power</w:t>
      </w:r>
      <w:r w:rsidRPr="00CD16E7">
        <w:rPr>
          <w:rFonts w:cs="Times New Roman"/>
          <w:sz w:val="22"/>
        </w:rPr>
        <w:br/>
      </w:r>
    </w:p>
    <w:p w14:paraId="167DFDA3" w14:textId="77777777" w:rsidR="00AF1F9F" w:rsidRPr="00CD16E7" w:rsidRDefault="00AF1F9F" w:rsidP="00FE76AC">
      <w:pPr>
        <w:rPr>
          <w:sz w:val="22"/>
        </w:rPr>
      </w:pPr>
    </w:p>
    <w:tbl>
      <w:tblPr>
        <w:tblW w:w="0" w:type="auto"/>
        <w:tblLook w:val="04A0" w:firstRow="1" w:lastRow="0" w:firstColumn="1" w:lastColumn="0" w:noHBand="0" w:noVBand="1"/>
      </w:tblPr>
      <w:tblGrid>
        <w:gridCol w:w="1050"/>
        <w:gridCol w:w="2570"/>
      </w:tblGrid>
      <w:tr w:rsidR="00FE76AC" w:rsidRPr="00CD16E7" w14:paraId="166B9F04" w14:textId="644EDBD1" w:rsidTr="00715F47">
        <w:tc>
          <w:tcPr>
            <w:tcW w:w="1050" w:type="dxa"/>
          </w:tcPr>
          <w:p w14:paraId="5BD751D3" w14:textId="5472ECC5" w:rsidR="00FE76AC" w:rsidRPr="00CD16E7" w:rsidRDefault="00FE76AC" w:rsidP="00B5481F">
            <w:pPr>
              <w:rPr>
                <w:sz w:val="22"/>
              </w:rPr>
            </w:pPr>
            <w:r w:rsidRPr="00CD16E7">
              <w:rPr>
                <w:rFonts w:cs="Times New Roman"/>
                <w:sz w:val="22"/>
              </w:rPr>
              <w:t>TPOC-1:</w:t>
            </w:r>
          </w:p>
        </w:tc>
        <w:tc>
          <w:tcPr>
            <w:tcW w:w="0" w:type="auto"/>
          </w:tcPr>
          <w:p w14:paraId="6E6AE8A3" w14:textId="7FE3E180" w:rsidR="00FE76AC" w:rsidRPr="00CD16E7" w:rsidRDefault="00FE76AC" w:rsidP="00B5481F">
            <w:pPr>
              <w:rPr>
                <w:sz w:val="22"/>
              </w:rPr>
            </w:pPr>
            <w:r w:rsidRPr="00CD16E7">
              <w:rPr>
                <w:rFonts w:cs="Times New Roman"/>
                <w:sz w:val="22"/>
              </w:rPr>
              <w:t>Mark Totten</w:t>
            </w:r>
          </w:p>
        </w:tc>
      </w:tr>
      <w:tr w:rsidR="001C79ED" w:rsidRPr="00CD16E7" w14:paraId="1D12B211" w14:textId="29CDC9DA" w:rsidTr="00715F47">
        <w:tc>
          <w:tcPr>
            <w:tcW w:w="1050" w:type="dxa"/>
          </w:tcPr>
          <w:p w14:paraId="39C02236" w14:textId="4634E23D" w:rsidR="001C79ED" w:rsidRPr="00CD16E7" w:rsidRDefault="001C79ED" w:rsidP="00B5481F">
            <w:pPr>
              <w:rPr>
                <w:sz w:val="22"/>
              </w:rPr>
            </w:pPr>
            <w:r w:rsidRPr="00CD16E7">
              <w:rPr>
                <w:rFonts w:cs="Times New Roman"/>
                <w:sz w:val="22"/>
              </w:rPr>
              <w:t>Email:</w:t>
            </w:r>
          </w:p>
        </w:tc>
        <w:tc>
          <w:tcPr>
            <w:tcW w:w="0" w:type="auto"/>
          </w:tcPr>
          <w:p w14:paraId="1AED4F94" w14:textId="5AB4BCA5" w:rsidR="001C79ED" w:rsidRPr="00CD16E7" w:rsidRDefault="001C79ED" w:rsidP="00B5481F">
            <w:pPr>
              <w:rPr>
                <w:sz w:val="22"/>
              </w:rPr>
            </w:pPr>
            <w:r w:rsidRPr="00CD16E7">
              <w:rPr>
                <w:rFonts w:cs="Times New Roman"/>
                <w:sz w:val="22"/>
              </w:rPr>
              <w:t>mark.totten2@usmc.mil</w:t>
            </w:r>
            <w:r w:rsidR="00C55B5B">
              <w:rPr>
                <w:rFonts w:cs="Times New Roman"/>
                <w:sz w:val="22"/>
              </w:rPr>
              <w:t xml:space="preserve"> </w:t>
            </w:r>
          </w:p>
        </w:tc>
      </w:tr>
      <w:tr w:rsidR="001C79ED" w:rsidRPr="00CD16E7" w14:paraId="23194197" w14:textId="3D97A214" w:rsidTr="00715F47">
        <w:tc>
          <w:tcPr>
            <w:tcW w:w="1050" w:type="dxa"/>
          </w:tcPr>
          <w:p w14:paraId="7145ECB9" w14:textId="1EBF4ED1" w:rsidR="001C79ED" w:rsidRPr="00CD16E7" w:rsidRDefault="001C79ED" w:rsidP="00B5481F">
            <w:pPr>
              <w:rPr>
                <w:sz w:val="22"/>
              </w:rPr>
            </w:pPr>
          </w:p>
        </w:tc>
        <w:tc>
          <w:tcPr>
            <w:tcW w:w="0" w:type="auto"/>
          </w:tcPr>
          <w:p w14:paraId="2297580A" w14:textId="2C3F5A0E" w:rsidR="001C79ED" w:rsidRPr="00CD16E7" w:rsidRDefault="001C79ED" w:rsidP="00B5481F">
            <w:pPr>
              <w:rPr>
                <w:sz w:val="22"/>
              </w:rPr>
            </w:pPr>
          </w:p>
        </w:tc>
      </w:tr>
      <w:tr w:rsidR="001C79ED" w:rsidRPr="00CD16E7" w14:paraId="27AA0005" w14:textId="77777777" w:rsidTr="00715F47">
        <w:tc>
          <w:tcPr>
            <w:tcW w:w="1050" w:type="dxa"/>
          </w:tcPr>
          <w:p w14:paraId="38046D91" w14:textId="156E926C" w:rsidR="001C79ED" w:rsidRPr="00CD16E7" w:rsidRDefault="001C79ED" w:rsidP="00B5481F">
            <w:pPr>
              <w:rPr>
                <w:rFonts w:cs="Times New Roman"/>
                <w:sz w:val="22"/>
              </w:rPr>
            </w:pPr>
            <w:r w:rsidRPr="00CD16E7">
              <w:rPr>
                <w:rFonts w:cs="Times New Roman"/>
                <w:sz w:val="22"/>
              </w:rPr>
              <w:t>TPOC-1:</w:t>
            </w:r>
          </w:p>
        </w:tc>
        <w:tc>
          <w:tcPr>
            <w:tcW w:w="0" w:type="auto"/>
          </w:tcPr>
          <w:p w14:paraId="1CEC1338" w14:textId="4DF3E9B6" w:rsidR="001C79ED" w:rsidRPr="00CD16E7" w:rsidRDefault="001C79ED" w:rsidP="00B5481F">
            <w:pPr>
              <w:rPr>
                <w:rFonts w:cs="Times New Roman"/>
                <w:sz w:val="22"/>
              </w:rPr>
            </w:pPr>
            <w:r>
              <w:rPr>
                <w:rFonts w:cs="Times New Roman"/>
                <w:sz w:val="22"/>
              </w:rPr>
              <w:t>Jason Engstrom</w:t>
            </w:r>
          </w:p>
        </w:tc>
      </w:tr>
      <w:tr w:rsidR="001C79ED" w:rsidRPr="00CD16E7" w14:paraId="57865282" w14:textId="77777777" w:rsidTr="00715F47">
        <w:tc>
          <w:tcPr>
            <w:tcW w:w="1050" w:type="dxa"/>
          </w:tcPr>
          <w:p w14:paraId="69FFC9DD" w14:textId="75DDFB1E" w:rsidR="001C79ED" w:rsidRPr="00CD16E7" w:rsidRDefault="001C79ED" w:rsidP="00715F47">
            <w:pPr>
              <w:rPr>
                <w:rFonts w:cs="Times New Roman"/>
                <w:sz w:val="22"/>
              </w:rPr>
            </w:pPr>
            <w:r w:rsidRPr="00CD16E7">
              <w:rPr>
                <w:rFonts w:cs="Times New Roman"/>
                <w:sz w:val="22"/>
              </w:rPr>
              <w:t>Email:</w:t>
            </w:r>
          </w:p>
        </w:tc>
        <w:tc>
          <w:tcPr>
            <w:tcW w:w="0" w:type="auto"/>
          </w:tcPr>
          <w:p w14:paraId="14F00897" w14:textId="3C8B656F" w:rsidR="001C79ED" w:rsidRPr="00CD16E7" w:rsidRDefault="001C79ED" w:rsidP="00715F47">
            <w:pPr>
              <w:rPr>
                <w:rFonts w:cs="Times New Roman"/>
                <w:sz w:val="22"/>
              </w:rPr>
            </w:pPr>
            <w:r>
              <w:rPr>
                <w:rFonts w:cs="Times New Roman"/>
                <w:sz w:val="22"/>
              </w:rPr>
              <w:t>jason.engstrom</w:t>
            </w:r>
            <w:r w:rsidRPr="00CD16E7">
              <w:rPr>
                <w:rFonts w:cs="Times New Roman"/>
                <w:sz w:val="22"/>
              </w:rPr>
              <w:t>@usmc.mil</w:t>
            </w:r>
          </w:p>
        </w:tc>
      </w:tr>
    </w:tbl>
    <w:p w14:paraId="3316AD7C" w14:textId="34FA2BE7" w:rsidR="00ED2341" w:rsidRDefault="00ED2341" w:rsidP="00AF1F9F">
      <w:pPr>
        <w:rPr>
          <w:sz w:val="22"/>
        </w:rPr>
      </w:pPr>
    </w:p>
    <w:sectPr w:rsidR="00ED2341" w:rsidSect="00A23AB6">
      <w:footerReference w:type="default" r:id="rId30"/>
      <w:pgSz w:w="12240" w:h="15840"/>
      <w:pgMar w:top="1440" w:right="1440" w:bottom="1440"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C88C6" w14:textId="77777777" w:rsidR="003D01C8" w:rsidRDefault="003D01C8" w:rsidP="00A95D3E">
      <w:r>
        <w:separator/>
      </w:r>
    </w:p>
  </w:endnote>
  <w:endnote w:type="continuationSeparator" w:id="0">
    <w:p w14:paraId="187199A0" w14:textId="77777777" w:rsidR="003D01C8" w:rsidRDefault="003D01C8" w:rsidP="00A9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156581942"/>
      <w:docPartObj>
        <w:docPartGallery w:val="Page Numbers (Bottom of Page)"/>
        <w:docPartUnique/>
      </w:docPartObj>
    </w:sdtPr>
    <w:sdtEndPr>
      <w:rPr>
        <w:noProof/>
      </w:rPr>
    </w:sdtEndPr>
    <w:sdtContent>
      <w:p w14:paraId="4D69C88C" w14:textId="20D85778" w:rsidR="00A62BB4" w:rsidRPr="00310EEE" w:rsidRDefault="00A62BB4">
        <w:pPr>
          <w:pStyle w:val="Footer"/>
          <w:jc w:val="center"/>
          <w:rPr>
            <w:sz w:val="20"/>
            <w:szCs w:val="20"/>
          </w:rPr>
        </w:pPr>
        <w:r w:rsidRPr="00310EEE">
          <w:rPr>
            <w:sz w:val="20"/>
            <w:szCs w:val="20"/>
          </w:rPr>
          <w:t xml:space="preserve">NAVY </w:t>
        </w:r>
        <w:r w:rsidR="00FA1DB3">
          <w:rPr>
            <w:sz w:val="20"/>
            <w:szCs w:val="20"/>
          </w:rPr>
          <w:t>DP</w:t>
        </w:r>
        <w:r w:rsidR="00503F8B">
          <w:rPr>
            <w:sz w:val="20"/>
            <w:szCs w:val="20"/>
          </w:rPr>
          <w:t>2</w:t>
        </w:r>
        <w:r w:rsidR="00AB635D">
          <w:rPr>
            <w:sz w:val="20"/>
            <w:szCs w:val="20"/>
          </w:rPr>
          <w:t xml:space="preserve"> </w:t>
        </w:r>
        <w:r w:rsidRPr="00310EEE">
          <w:rPr>
            <w:sz w:val="20"/>
            <w:szCs w:val="20"/>
          </w:rPr>
          <w:t xml:space="preserve">- </w:t>
        </w:r>
        <w:r w:rsidRPr="00310EEE">
          <w:rPr>
            <w:sz w:val="20"/>
            <w:szCs w:val="20"/>
          </w:rPr>
          <w:fldChar w:fldCharType="begin"/>
        </w:r>
        <w:r w:rsidRPr="00310EEE">
          <w:rPr>
            <w:sz w:val="20"/>
            <w:szCs w:val="20"/>
          </w:rPr>
          <w:instrText xml:space="preserve"> PAGE   \* MERGEFORMAT </w:instrText>
        </w:r>
        <w:r w:rsidRPr="00310EEE">
          <w:rPr>
            <w:sz w:val="20"/>
            <w:szCs w:val="20"/>
          </w:rPr>
          <w:fldChar w:fldCharType="separate"/>
        </w:r>
        <w:r w:rsidR="006128AD">
          <w:rPr>
            <w:noProof/>
            <w:sz w:val="20"/>
            <w:szCs w:val="20"/>
          </w:rPr>
          <w:t>1</w:t>
        </w:r>
        <w:r w:rsidRPr="00310EEE">
          <w:rPr>
            <w:noProof/>
            <w:sz w:val="20"/>
            <w:szCs w:val="20"/>
          </w:rPr>
          <w:fldChar w:fldCharType="end"/>
        </w:r>
      </w:p>
    </w:sdtContent>
  </w:sdt>
  <w:p w14:paraId="6E3F7A39" w14:textId="77777777" w:rsidR="00A62BB4" w:rsidRDefault="00A62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BAF05" w14:textId="77777777" w:rsidR="003D01C8" w:rsidRDefault="003D01C8" w:rsidP="00A95D3E">
      <w:r>
        <w:separator/>
      </w:r>
    </w:p>
  </w:footnote>
  <w:footnote w:type="continuationSeparator" w:id="0">
    <w:p w14:paraId="5EE4E2F8" w14:textId="77777777" w:rsidR="003D01C8" w:rsidRDefault="003D01C8" w:rsidP="00A9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4C8"/>
    <w:multiLevelType w:val="hybridMultilevel"/>
    <w:tmpl w:val="77F2E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2D06A2"/>
    <w:multiLevelType w:val="hybridMultilevel"/>
    <w:tmpl w:val="B5DAED3C"/>
    <w:lvl w:ilvl="0" w:tplc="8E10A50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F6A0E"/>
    <w:multiLevelType w:val="hybridMultilevel"/>
    <w:tmpl w:val="C324B0E2"/>
    <w:lvl w:ilvl="0" w:tplc="6534D092">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367E98"/>
    <w:multiLevelType w:val="hybridMultilevel"/>
    <w:tmpl w:val="538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51E5F"/>
    <w:multiLevelType w:val="hybridMultilevel"/>
    <w:tmpl w:val="E0CA32D0"/>
    <w:lvl w:ilvl="0" w:tplc="A44464FA">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B640E"/>
    <w:multiLevelType w:val="hybridMultilevel"/>
    <w:tmpl w:val="C16AB0FE"/>
    <w:lvl w:ilvl="0" w:tplc="B382F41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E1613"/>
    <w:multiLevelType w:val="hybridMultilevel"/>
    <w:tmpl w:val="1C0A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66915"/>
    <w:multiLevelType w:val="hybridMultilevel"/>
    <w:tmpl w:val="1FEA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038F6"/>
    <w:multiLevelType w:val="hybridMultilevel"/>
    <w:tmpl w:val="D078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B2984"/>
    <w:multiLevelType w:val="hybridMultilevel"/>
    <w:tmpl w:val="873A3548"/>
    <w:lvl w:ilvl="0" w:tplc="8A68477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92514"/>
    <w:multiLevelType w:val="hybridMultilevel"/>
    <w:tmpl w:val="4F02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8710F"/>
    <w:multiLevelType w:val="hybridMultilevel"/>
    <w:tmpl w:val="557A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81B3E"/>
    <w:multiLevelType w:val="hybridMultilevel"/>
    <w:tmpl w:val="E29ACFF2"/>
    <w:lvl w:ilvl="0" w:tplc="5144F83C">
      <w:start w:val="1"/>
      <w:numFmt w:val="decimal"/>
      <w:lvlText w:val="%1."/>
      <w:lvlJc w:val="left"/>
      <w:pPr>
        <w:ind w:left="1440" w:hanging="360"/>
      </w:pPr>
      <w:rPr>
        <w:rFonts w:hint="default"/>
        <w:sz w:val="22"/>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D20B40"/>
    <w:multiLevelType w:val="hybridMultilevel"/>
    <w:tmpl w:val="84F89AF2"/>
    <w:lvl w:ilvl="0" w:tplc="6534D092">
      <w:start w:val="1"/>
      <w:numFmt w:val="bullet"/>
      <w:lvlText w:val=""/>
      <w:lvlJc w:val="left"/>
      <w:pPr>
        <w:ind w:left="108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CC7D65"/>
    <w:multiLevelType w:val="hybridMultilevel"/>
    <w:tmpl w:val="A5727106"/>
    <w:lvl w:ilvl="0" w:tplc="8E10A506">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446B7B3F"/>
    <w:multiLevelType w:val="hybridMultilevel"/>
    <w:tmpl w:val="E756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3823EA"/>
    <w:multiLevelType w:val="hybridMultilevel"/>
    <w:tmpl w:val="2034DE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F75B27"/>
    <w:multiLevelType w:val="hybridMultilevel"/>
    <w:tmpl w:val="24F64C4A"/>
    <w:lvl w:ilvl="0" w:tplc="0F0200B0">
      <w:start w:val="1"/>
      <w:numFmt w:val="bullet"/>
      <w:lvlText w:val=""/>
      <w:lvlJc w:val="left"/>
      <w:pPr>
        <w:ind w:left="1440" w:hanging="360"/>
      </w:pPr>
      <w:rPr>
        <w:rFonts w:ascii="Symbol" w:hAnsi="Symbol" w:hint="default"/>
        <w:color w:val="auto"/>
        <w:sz w:val="16"/>
      </w:rPr>
    </w:lvl>
    <w:lvl w:ilvl="1" w:tplc="EFF4244E">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7052FD"/>
    <w:multiLevelType w:val="hybridMultilevel"/>
    <w:tmpl w:val="BE4AC1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03442F"/>
    <w:multiLevelType w:val="hybridMultilevel"/>
    <w:tmpl w:val="C82E3C6C"/>
    <w:lvl w:ilvl="0" w:tplc="126AECA2">
      <w:start w:val="1"/>
      <w:numFmt w:val="decimal"/>
      <w:lvlText w:val="%1."/>
      <w:lvlJc w:val="left"/>
      <w:pPr>
        <w:ind w:left="1440" w:hanging="360"/>
      </w:pPr>
      <w:rPr>
        <w:rFonts w:hint="default"/>
        <w:sz w:val="22"/>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0008B4"/>
    <w:multiLevelType w:val="hybridMultilevel"/>
    <w:tmpl w:val="6DD4D6E8"/>
    <w:lvl w:ilvl="0" w:tplc="312843C2">
      <w:start w:val="1"/>
      <w:numFmt w:val="bullet"/>
      <w:lvlText w:val=""/>
      <w:lvlJc w:val="left"/>
      <w:pPr>
        <w:ind w:left="720" w:hanging="360"/>
      </w:pPr>
      <w:rPr>
        <w:rFonts w:ascii="Symbol" w:hAnsi="Symbol" w:hint="default"/>
        <w:sz w:val="16"/>
        <w:szCs w:val="16"/>
      </w:rPr>
    </w:lvl>
    <w:lvl w:ilvl="1" w:tplc="81B0D0AE">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2B18D3"/>
    <w:multiLevelType w:val="hybridMultilevel"/>
    <w:tmpl w:val="E9B2F674"/>
    <w:lvl w:ilvl="0" w:tplc="8E10A50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66623E"/>
    <w:multiLevelType w:val="hybridMultilevel"/>
    <w:tmpl w:val="D334F752"/>
    <w:lvl w:ilvl="0" w:tplc="8E10A506">
      <w:start w:val="1"/>
      <w:numFmt w:val="bullet"/>
      <w:lvlText w:val=""/>
      <w:lvlJc w:val="left"/>
      <w:pPr>
        <w:ind w:left="720" w:hanging="360"/>
      </w:pPr>
      <w:rPr>
        <w:rFonts w:ascii="Symbol" w:hAnsi="Symbol" w:hint="default"/>
        <w:sz w:val="16"/>
        <w:szCs w:val="16"/>
      </w:rPr>
    </w:lvl>
    <w:lvl w:ilvl="1" w:tplc="9760D5DA">
      <w:start w:val="1"/>
      <w:numFmt w:val="bullet"/>
      <w:lvlText w:val="o"/>
      <w:lvlJc w:val="left"/>
      <w:pPr>
        <w:ind w:left="108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EF20B4"/>
    <w:multiLevelType w:val="hybridMultilevel"/>
    <w:tmpl w:val="F6A0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4B4458"/>
    <w:multiLevelType w:val="hybridMultilevel"/>
    <w:tmpl w:val="350E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E166D"/>
    <w:multiLevelType w:val="hybridMultilevel"/>
    <w:tmpl w:val="F0A8E7C4"/>
    <w:lvl w:ilvl="0" w:tplc="04090003">
      <w:start w:val="1"/>
      <w:numFmt w:val="bullet"/>
      <w:lvlText w:val="o"/>
      <w:lvlJc w:val="left"/>
      <w:pPr>
        <w:ind w:left="1080" w:hanging="360"/>
      </w:pPr>
      <w:rPr>
        <w:rFonts w:ascii="Courier New" w:hAnsi="Courier New" w:cs="Courier New"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F00BF4"/>
    <w:multiLevelType w:val="hybridMultilevel"/>
    <w:tmpl w:val="9ACC0D0A"/>
    <w:lvl w:ilvl="0" w:tplc="6534D09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5D24B4"/>
    <w:multiLevelType w:val="hybridMultilevel"/>
    <w:tmpl w:val="4830ADDE"/>
    <w:lvl w:ilvl="0" w:tplc="A7CA7A90">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E02FAB"/>
    <w:multiLevelType w:val="hybridMultilevel"/>
    <w:tmpl w:val="FEB069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271A1"/>
    <w:multiLevelType w:val="hybridMultilevel"/>
    <w:tmpl w:val="FBAC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6"/>
  </w:num>
  <w:num w:numId="3">
    <w:abstractNumId w:val="17"/>
  </w:num>
  <w:num w:numId="4">
    <w:abstractNumId w:val="4"/>
  </w:num>
  <w:num w:numId="5">
    <w:abstractNumId w:val="16"/>
  </w:num>
  <w:num w:numId="6">
    <w:abstractNumId w:val="18"/>
  </w:num>
  <w:num w:numId="7">
    <w:abstractNumId w:val="28"/>
  </w:num>
  <w:num w:numId="8">
    <w:abstractNumId w:val="2"/>
  </w:num>
  <w:num w:numId="9">
    <w:abstractNumId w:val="11"/>
  </w:num>
  <w:num w:numId="10">
    <w:abstractNumId w:val="29"/>
  </w:num>
  <w:num w:numId="11">
    <w:abstractNumId w:val="15"/>
  </w:num>
  <w:num w:numId="12">
    <w:abstractNumId w:val="25"/>
  </w:num>
  <w:num w:numId="13">
    <w:abstractNumId w:val="27"/>
  </w:num>
  <w:num w:numId="14">
    <w:abstractNumId w:val="5"/>
  </w:num>
  <w:num w:numId="15">
    <w:abstractNumId w:val="3"/>
  </w:num>
  <w:num w:numId="16">
    <w:abstractNumId w:val="22"/>
  </w:num>
  <w:num w:numId="17">
    <w:abstractNumId w:val="14"/>
  </w:num>
  <w:num w:numId="18">
    <w:abstractNumId w:val="1"/>
  </w:num>
  <w:num w:numId="19">
    <w:abstractNumId w:val="21"/>
  </w:num>
  <w:num w:numId="20">
    <w:abstractNumId w:val="9"/>
  </w:num>
  <w:num w:numId="21">
    <w:abstractNumId w:val="10"/>
  </w:num>
  <w:num w:numId="22">
    <w:abstractNumId w:val="23"/>
  </w:num>
  <w:num w:numId="23">
    <w:abstractNumId w:val="20"/>
  </w:num>
  <w:num w:numId="24">
    <w:abstractNumId w:val="13"/>
  </w:num>
  <w:num w:numId="25">
    <w:abstractNumId w:val="24"/>
  </w:num>
  <w:num w:numId="26">
    <w:abstractNumId w:val="19"/>
  </w:num>
  <w:num w:numId="27">
    <w:abstractNumId w:val="12"/>
  </w:num>
  <w:num w:numId="28">
    <w:abstractNumId w:val="7"/>
  </w:num>
  <w:num w:numId="29">
    <w:abstractNumId w:val="8"/>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22"/>
    <w:rsid w:val="00000C16"/>
    <w:rsid w:val="00003EDB"/>
    <w:rsid w:val="000056BA"/>
    <w:rsid w:val="00010DC3"/>
    <w:rsid w:val="000137D5"/>
    <w:rsid w:val="000158B8"/>
    <w:rsid w:val="00015988"/>
    <w:rsid w:val="00016172"/>
    <w:rsid w:val="00016536"/>
    <w:rsid w:val="00021748"/>
    <w:rsid w:val="0002733C"/>
    <w:rsid w:val="000276C4"/>
    <w:rsid w:val="00027A8D"/>
    <w:rsid w:val="00037658"/>
    <w:rsid w:val="00037888"/>
    <w:rsid w:val="00037D84"/>
    <w:rsid w:val="00040D25"/>
    <w:rsid w:val="00042389"/>
    <w:rsid w:val="000426C6"/>
    <w:rsid w:val="00043AEE"/>
    <w:rsid w:val="00053E7C"/>
    <w:rsid w:val="00056446"/>
    <w:rsid w:val="00057591"/>
    <w:rsid w:val="000609EC"/>
    <w:rsid w:val="00060E35"/>
    <w:rsid w:val="0006478E"/>
    <w:rsid w:val="0006770B"/>
    <w:rsid w:val="0007038B"/>
    <w:rsid w:val="000715C3"/>
    <w:rsid w:val="000730CA"/>
    <w:rsid w:val="0007511C"/>
    <w:rsid w:val="000766BC"/>
    <w:rsid w:val="00077FF3"/>
    <w:rsid w:val="000800DB"/>
    <w:rsid w:val="00080520"/>
    <w:rsid w:val="000808F5"/>
    <w:rsid w:val="00080FF3"/>
    <w:rsid w:val="0008114B"/>
    <w:rsid w:val="00081617"/>
    <w:rsid w:val="00086437"/>
    <w:rsid w:val="00086B0A"/>
    <w:rsid w:val="00086FA9"/>
    <w:rsid w:val="00091463"/>
    <w:rsid w:val="00091AA0"/>
    <w:rsid w:val="00092702"/>
    <w:rsid w:val="000A3092"/>
    <w:rsid w:val="000A3E1D"/>
    <w:rsid w:val="000A5A85"/>
    <w:rsid w:val="000B1D27"/>
    <w:rsid w:val="000B5F6C"/>
    <w:rsid w:val="000B690B"/>
    <w:rsid w:val="000B7827"/>
    <w:rsid w:val="000B7AEF"/>
    <w:rsid w:val="000C015C"/>
    <w:rsid w:val="000C17D1"/>
    <w:rsid w:val="000C2268"/>
    <w:rsid w:val="000C6BAB"/>
    <w:rsid w:val="000C7ED2"/>
    <w:rsid w:val="000D0D97"/>
    <w:rsid w:val="000D1458"/>
    <w:rsid w:val="000D344E"/>
    <w:rsid w:val="000D39D1"/>
    <w:rsid w:val="000E2B10"/>
    <w:rsid w:val="000E3258"/>
    <w:rsid w:val="000E4F53"/>
    <w:rsid w:val="000F076F"/>
    <w:rsid w:val="000F081C"/>
    <w:rsid w:val="000F3518"/>
    <w:rsid w:val="000F6065"/>
    <w:rsid w:val="0010186A"/>
    <w:rsid w:val="00103F70"/>
    <w:rsid w:val="001053B2"/>
    <w:rsid w:val="001053DA"/>
    <w:rsid w:val="00106604"/>
    <w:rsid w:val="00107FB4"/>
    <w:rsid w:val="00110CE9"/>
    <w:rsid w:val="00112AE8"/>
    <w:rsid w:val="00114734"/>
    <w:rsid w:val="00132E15"/>
    <w:rsid w:val="0013661A"/>
    <w:rsid w:val="00137838"/>
    <w:rsid w:val="00141F42"/>
    <w:rsid w:val="00142178"/>
    <w:rsid w:val="001422FA"/>
    <w:rsid w:val="001434B1"/>
    <w:rsid w:val="0014557F"/>
    <w:rsid w:val="00150B6A"/>
    <w:rsid w:val="001510C1"/>
    <w:rsid w:val="001557EA"/>
    <w:rsid w:val="001565A7"/>
    <w:rsid w:val="001620E5"/>
    <w:rsid w:val="00165C77"/>
    <w:rsid w:val="001675F4"/>
    <w:rsid w:val="00167824"/>
    <w:rsid w:val="00173020"/>
    <w:rsid w:val="001736C8"/>
    <w:rsid w:val="0017592A"/>
    <w:rsid w:val="00177307"/>
    <w:rsid w:val="00177CB1"/>
    <w:rsid w:val="00181B7F"/>
    <w:rsid w:val="00182732"/>
    <w:rsid w:val="001842AD"/>
    <w:rsid w:val="00184EDB"/>
    <w:rsid w:val="00184F22"/>
    <w:rsid w:val="0018568A"/>
    <w:rsid w:val="00186EFB"/>
    <w:rsid w:val="00192BC5"/>
    <w:rsid w:val="00193154"/>
    <w:rsid w:val="001951DE"/>
    <w:rsid w:val="001A457A"/>
    <w:rsid w:val="001A6C1A"/>
    <w:rsid w:val="001A7660"/>
    <w:rsid w:val="001B02A7"/>
    <w:rsid w:val="001B3895"/>
    <w:rsid w:val="001C02DF"/>
    <w:rsid w:val="001C177F"/>
    <w:rsid w:val="001C25B8"/>
    <w:rsid w:val="001C79ED"/>
    <w:rsid w:val="001D14F6"/>
    <w:rsid w:val="001D69C5"/>
    <w:rsid w:val="001E0F7F"/>
    <w:rsid w:val="001E13F6"/>
    <w:rsid w:val="001E1D43"/>
    <w:rsid w:val="001E20EA"/>
    <w:rsid w:val="001E3AC4"/>
    <w:rsid w:val="001E49AD"/>
    <w:rsid w:val="001E5CB2"/>
    <w:rsid w:val="001E5E98"/>
    <w:rsid w:val="001E66F9"/>
    <w:rsid w:val="001F056E"/>
    <w:rsid w:val="001F0E7D"/>
    <w:rsid w:val="00203B92"/>
    <w:rsid w:val="002060E3"/>
    <w:rsid w:val="00206CF2"/>
    <w:rsid w:val="0020707F"/>
    <w:rsid w:val="0021156D"/>
    <w:rsid w:val="00213A13"/>
    <w:rsid w:val="00214F52"/>
    <w:rsid w:val="00215615"/>
    <w:rsid w:val="00215C0D"/>
    <w:rsid w:val="00216B92"/>
    <w:rsid w:val="00217B85"/>
    <w:rsid w:val="00221832"/>
    <w:rsid w:val="002251D4"/>
    <w:rsid w:val="00227979"/>
    <w:rsid w:val="00230BD0"/>
    <w:rsid w:val="00230E60"/>
    <w:rsid w:val="00230E89"/>
    <w:rsid w:val="002315F8"/>
    <w:rsid w:val="002320DC"/>
    <w:rsid w:val="00233EC0"/>
    <w:rsid w:val="00234F8E"/>
    <w:rsid w:val="00237734"/>
    <w:rsid w:val="00240709"/>
    <w:rsid w:val="00245B57"/>
    <w:rsid w:val="002508BD"/>
    <w:rsid w:val="002524A0"/>
    <w:rsid w:val="002539AF"/>
    <w:rsid w:val="00253BC9"/>
    <w:rsid w:val="002542E4"/>
    <w:rsid w:val="00260A79"/>
    <w:rsid w:val="00261B65"/>
    <w:rsid w:val="00264E6F"/>
    <w:rsid w:val="00267DBE"/>
    <w:rsid w:val="00267E2E"/>
    <w:rsid w:val="0027094D"/>
    <w:rsid w:val="00271069"/>
    <w:rsid w:val="002719EE"/>
    <w:rsid w:val="0027236C"/>
    <w:rsid w:val="00273F7A"/>
    <w:rsid w:val="00277B42"/>
    <w:rsid w:val="00280EE9"/>
    <w:rsid w:val="0028206F"/>
    <w:rsid w:val="002821EF"/>
    <w:rsid w:val="0029273C"/>
    <w:rsid w:val="00296508"/>
    <w:rsid w:val="00297453"/>
    <w:rsid w:val="00297994"/>
    <w:rsid w:val="002A0F4C"/>
    <w:rsid w:val="002A1826"/>
    <w:rsid w:val="002A234B"/>
    <w:rsid w:val="002A44A7"/>
    <w:rsid w:val="002A4959"/>
    <w:rsid w:val="002A611E"/>
    <w:rsid w:val="002B16F3"/>
    <w:rsid w:val="002B30F3"/>
    <w:rsid w:val="002B3CC5"/>
    <w:rsid w:val="002C05AF"/>
    <w:rsid w:val="002C11E6"/>
    <w:rsid w:val="002C151E"/>
    <w:rsid w:val="002C3712"/>
    <w:rsid w:val="002C6E29"/>
    <w:rsid w:val="002D29F9"/>
    <w:rsid w:val="002D2CA3"/>
    <w:rsid w:val="002D49AC"/>
    <w:rsid w:val="002D6AD8"/>
    <w:rsid w:val="002E19EE"/>
    <w:rsid w:val="002E367A"/>
    <w:rsid w:val="002E3A5A"/>
    <w:rsid w:val="002E3D08"/>
    <w:rsid w:val="002E68C6"/>
    <w:rsid w:val="002E767F"/>
    <w:rsid w:val="002F1CA9"/>
    <w:rsid w:val="002F4732"/>
    <w:rsid w:val="002F6E70"/>
    <w:rsid w:val="00305DFB"/>
    <w:rsid w:val="003068A9"/>
    <w:rsid w:val="00310618"/>
    <w:rsid w:val="00310710"/>
    <w:rsid w:val="00310EEE"/>
    <w:rsid w:val="003126ED"/>
    <w:rsid w:val="003144C7"/>
    <w:rsid w:val="00315D73"/>
    <w:rsid w:val="003164C7"/>
    <w:rsid w:val="00321043"/>
    <w:rsid w:val="00322800"/>
    <w:rsid w:val="00324403"/>
    <w:rsid w:val="00331CF6"/>
    <w:rsid w:val="0033465A"/>
    <w:rsid w:val="00341414"/>
    <w:rsid w:val="00342F77"/>
    <w:rsid w:val="0034501D"/>
    <w:rsid w:val="00352734"/>
    <w:rsid w:val="003529ED"/>
    <w:rsid w:val="003539FB"/>
    <w:rsid w:val="00353BEE"/>
    <w:rsid w:val="00354969"/>
    <w:rsid w:val="003551D5"/>
    <w:rsid w:val="00356B05"/>
    <w:rsid w:val="00364E5E"/>
    <w:rsid w:val="00365294"/>
    <w:rsid w:val="00365B20"/>
    <w:rsid w:val="00366685"/>
    <w:rsid w:val="00371AD7"/>
    <w:rsid w:val="00372BF3"/>
    <w:rsid w:val="0037328C"/>
    <w:rsid w:val="00373725"/>
    <w:rsid w:val="003827B6"/>
    <w:rsid w:val="00382E4D"/>
    <w:rsid w:val="00383106"/>
    <w:rsid w:val="00386563"/>
    <w:rsid w:val="00386941"/>
    <w:rsid w:val="003933DF"/>
    <w:rsid w:val="00394CD8"/>
    <w:rsid w:val="00395CB0"/>
    <w:rsid w:val="003A0205"/>
    <w:rsid w:val="003A17D5"/>
    <w:rsid w:val="003A7DCD"/>
    <w:rsid w:val="003B3198"/>
    <w:rsid w:val="003B3223"/>
    <w:rsid w:val="003B40CB"/>
    <w:rsid w:val="003C0718"/>
    <w:rsid w:val="003D01C8"/>
    <w:rsid w:val="003D5042"/>
    <w:rsid w:val="003E072E"/>
    <w:rsid w:val="003E1685"/>
    <w:rsid w:val="003E253C"/>
    <w:rsid w:val="003E29D8"/>
    <w:rsid w:val="003E7007"/>
    <w:rsid w:val="003E7B72"/>
    <w:rsid w:val="003F2147"/>
    <w:rsid w:val="003F307D"/>
    <w:rsid w:val="003F3994"/>
    <w:rsid w:val="003F6C27"/>
    <w:rsid w:val="003F7201"/>
    <w:rsid w:val="003F79BD"/>
    <w:rsid w:val="004009CD"/>
    <w:rsid w:val="00405445"/>
    <w:rsid w:val="00407ABE"/>
    <w:rsid w:val="00420B62"/>
    <w:rsid w:val="00421C24"/>
    <w:rsid w:val="00422EAB"/>
    <w:rsid w:val="00423025"/>
    <w:rsid w:val="00423A38"/>
    <w:rsid w:val="00427BB5"/>
    <w:rsid w:val="0044201F"/>
    <w:rsid w:val="00445EC1"/>
    <w:rsid w:val="0045153F"/>
    <w:rsid w:val="00451965"/>
    <w:rsid w:val="00452A20"/>
    <w:rsid w:val="004547F3"/>
    <w:rsid w:val="0045557A"/>
    <w:rsid w:val="004569C6"/>
    <w:rsid w:val="0046328E"/>
    <w:rsid w:val="004637A8"/>
    <w:rsid w:val="00470460"/>
    <w:rsid w:val="00473B79"/>
    <w:rsid w:val="00477019"/>
    <w:rsid w:val="004773B3"/>
    <w:rsid w:val="00480B95"/>
    <w:rsid w:val="00483086"/>
    <w:rsid w:val="00484642"/>
    <w:rsid w:val="00486CA4"/>
    <w:rsid w:val="00491E35"/>
    <w:rsid w:val="004976DB"/>
    <w:rsid w:val="004A15CE"/>
    <w:rsid w:val="004B1452"/>
    <w:rsid w:val="004B2CD9"/>
    <w:rsid w:val="004B7EE4"/>
    <w:rsid w:val="004C0306"/>
    <w:rsid w:val="004C55A9"/>
    <w:rsid w:val="004C63AC"/>
    <w:rsid w:val="004C6B2E"/>
    <w:rsid w:val="004C7FD5"/>
    <w:rsid w:val="004D0791"/>
    <w:rsid w:val="004D2142"/>
    <w:rsid w:val="004D6474"/>
    <w:rsid w:val="004D676F"/>
    <w:rsid w:val="004D713F"/>
    <w:rsid w:val="004D7B4C"/>
    <w:rsid w:val="004E086B"/>
    <w:rsid w:val="004E0D3F"/>
    <w:rsid w:val="004E44D4"/>
    <w:rsid w:val="004E5843"/>
    <w:rsid w:val="004E644B"/>
    <w:rsid w:val="004E7094"/>
    <w:rsid w:val="004F1750"/>
    <w:rsid w:val="004F3A84"/>
    <w:rsid w:val="004F4C6F"/>
    <w:rsid w:val="004F4E9E"/>
    <w:rsid w:val="004F4EEA"/>
    <w:rsid w:val="004F5224"/>
    <w:rsid w:val="004F6AFA"/>
    <w:rsid w:val="004F7201"/>
    <w:rsid w:val="004F7A13"/>
    <w:rsid w:val="00503F8B"/>
    <w:rsid w:val="005054FD"/>
    <w:rsid w:val="00507FC9"/>
    <w:rsid w:val="005117F6"/>
    <w:rsid w:val="005126B7"/>
    <w:rsid w:val="00514EC1"/>
    <w:rsid w:val="00516884"/>
    <w:rsid w:val="00517E63"/>
    <w:rsid w:val="005248D3"/>
    <w:rsid w:val="005277A6"/>
    <w:rsid w:val="0054090D"/>
    <w:rsid w:val="005462E1"/>
    <w:rsid w:val="00552C76"/>
    <w:rsid w:val="00553547"/>
    <w:rsid w:val="00554C57"/>
    <w:rsid w:val="00555B88"/>
    <w:rsid w:val="00555C7F"/>
    <w:rsid w:val="0055797C"/>
    <w:rsid w:val="00560AD3"/>
    <w:rsid w:val="00561916"/>
    <w:rsid w:val="005632F8"/>
    <w:rsid w:val="0056399B"/>
    <w:rsid w:val="005668BD"/>
    <w:rsid w:val="00567584"/>
    <w:rsid w:val="00577D16"/>
    <w:rsid w:val="005844AF"/>
    <w:rsid w:val="00585CE9"/>
    <w:rsid w:val="00590281"/>
    <w:rsid w:val="00592DEE"/>
    <w:rsid w:val="00593A76"/>
    <w:rsid w:val="00593AF0"/>
    <w:rsid w:val="00596D9F"/>
    <w:rsid w:val="00597ED4"/>
    <w:rsid w:val="005A05BE"/>
    <w:rsid w:val="005A6DF7"/>
    <w:rsid w:val="005A7063"/>
    <w:rsid w:val="005B20B5"/>
    <w:rsid w:val="005B46E2"/>
    <w:rsid w:val="005B47BA"/>
    <w:rsid w:val="005B55B7"/>
    <w:rsid w:val="005B6AD1"/>
    <w:rsid w:val="005C3915"/>
    <w:rsid w:val="005C4847"/>
    <w:rsid w:val="005C6667"/>
    <w:rsid w:val="005C6A4A"/>
    <w:rsid w:val="005D015E"/>
    <w:rsid w:val="005D04EC"/>
    <w:rsid w:val="005D0AD5"/>
    <w:rsid w:val="005D0E37"/>
    <w:rsid w:val="005D1812"/>
    <w:rsid w:val="005D3AD2"/>
    <w:rsid w:val="005E0CC8"/>
    <w:rsid w:val="005E2CD0"/>
    <w:rsid w:val="005E2EC2"/>
    <w:rsid w:val="005F1EF7"/>
    <w:rsid w:val="005F5B27"/>
    <w:rsid w:val="005F655D"/>
    <w:rsid w:val="00602DAB"/>
    <w:rsid w:val="00605000"/>
    <w:rsid w:val="00605F1D"/>
    <w:rsid w:val="00610D0B"/>
    <w:rsid w:val="00611033"/>
    <w:rsid w:val="00612424"/>
    <w:rsid w:val="006128AD"/>
    <w:rsid w:val="00617AA1"/>
    <w:rsid w:val="00617E43"/>
    <w:rsid w:val="0062014F"/>
    <w:rsid w:val="006211D9"/>
    <w:rsid w:val="00622149"/>
    <w:rsid w:val="00623C6B"/>
    <w:rsid w:val="00623CF1"/>
    <w:rsid w:val="00627B15"/>
    <w:rsid w:val="00630566"/>
    <w:rsid w:val="00632243"/>
    <w:rsid w:val="006372A3"/>
    <w:rsid w:val="00637868"/>
    <w:rsid w:val="00643DE9"/>
    <w:rsid w:val="00650B63"/>
    <w:rsid w:val="006517AC"/>
    <w:rsid w:val="00652434"/>
    <w:rsid w:val="006530DE"/>
    <w:rsid w:val="0065490F"/>
    <w:rsid w:val="00660511"/>
    <w:rsid w:val="00661383"/>
    <w:rsid w:val="00663244"/>
    <w:rsid w:val="00663871"/>
    <w:rsid w:val="00663FCD"/>
    <w:rsid w:val="00664514"/>
    <w:rsid w:val="00666138"/>
    <w:rsid w:val="00667312"/>
    <w:rsid w:val="00672B25"/>
    <w:rsid w:val="00672BD0"/>
    <w:rsid w:val="00675A82"/>
    <w:rsid w:val="0068095C"/>
    <w:rsid w:val="006814BA"/>
    <w:rsid w:val="0068660C"/>
    <w:rsid w:val="00687C9C"/>
    <w:rsid w:val="006928CF"/>
    <w:rsid w:val="00697670"/>
    <w:rsid w:val="006A04D6"/>
    <w:rsid w:val="006A0A39"/>
    <w:rsid w:val="006A0B48"/>
    <w:rsid w:val="006A2C47"/>
    <w:rsid w:val="006A3977"/>
    <w:rsid w:val="006B34BC"/>
    <w:rsid w:val="006B5023"/>
    <w:rsid w:val="006B6591"/>
    <w:rsid w:val="006B7669"/>
    <w:rsid w:val="006C4015"/>
    <w:rsid w:val="006C4C5C"/>
    <w:rsid w:val="006D01AE"/>
    <w:rsid w:val="006D05D4"/>
    <w:rsid w:val="006D2643"/>
    <w:rsid w:val="006D3F88"/>
    <w:rsid w:val="006D4E43"/>
    <w:rsid w:val="006D73F8"/>
    <w:rsid w:val="006E10F2"/>
    <w:rsid w:val="006E1DFF"/>
    <w:rsid w:val="006E3843"/>
    <w:rsid w:val="006E63C1"/>
    <w:rsid w:val="006F00D4"/>
    <w:rsid w:val="006F59F7"/>
    <w:rsid w:val="00707D7F"/>
    <w:rsid w:val="00710977"/>
    <w:rsid w:val="00712F7B"/>
    <w:rsid w:val="00714278"/>
    <w:rsid w:val="007146DD"/>
    <w:rsid w:val="00715F47"/>
    <w:rsid w:val="00717775"/>
    <w:rsid w:val="00717CCC"/>
    <w:rsid w:val="00721E8C"/>
    <w:rsid w:val="00722B21"/>
    <w:rsid w:val="0072470B"/>
    <w:rsid w:val="00724D7A"/>
    <w:rsid w:val="0072579C"/>
    <w:rsid w:val="00725CE5"/>
    <w:rsid w:val="0072627C"/>
    <w:rsid w:val="00733515"/>
    <w:rsid w:val="00736B39"/>
    <w:rsid w:val="00737025"/>
    <w:rsid w:val="00746C50"/>
    <w:rsid w:val="00750E03"/>
    <w:rsid w:val="007536C5"/>
    <w:rsid w:val="00760222"/>
    <w:rsid w:val="00762354"/>
    <w:rsid w:val="00762C18"/>
    <w:rsid w:val="00763D13"/>
    <w:rsid w:val="007656AC"/>
    <w:rsid w:val="007670F2"/>
    <w:rsid w:val="00767B8A"/>
    <w:rsid w:val="00772D1D"/>
    <w:rsid w:val="00773E6C"/>
    <w:rsid w:val="00781E92"/>
    <w:rsid w:val="00784654"/>
    <w:rsid w:val="00785A88"/>
    <w:rsid w:val="007864C4"/>
    <w:rsid w:val="007872E5"/>
    <w:rsid w:val="00787D20"/>
    <w:rsid w:val="0079306D"/>
    <w:rsid w:val="00796B2B"/>
    <w:rsid w:val="007A0BDA"/>
    <w:rsid w:val="007A103D"/>
    <w:rsid w:val="007A1A0B"/>
    <w:rsid w:val="007A202E"/>
    <w:rsid w:val="007B022A"/>
    <w:rsid w:val="007B24C3"/>
    <w:rsid w:val="007B383F"/>
    <w:rsid w:val="007B3942"/>
    <w:rsid w:val="007B66BD"/>
    <w:rsid w:val="007C32B6"/>
    <w:rsid w:val="007D1123"/>
    <w:rsid w:val="007D1389"/>
    <w:rsid w:val="007D4A91"/>
    <w:rsid w:val="007E2FAD"/>
    <w:rsid w:val="007F1669"/>
    <w:rsid w:val="007F27AE"/>
    <w:rsid w:val="007F3C88"/>
    <w:rsid w:val="0080127B"/>
    <w:rsid w:val="008013CE"/>
    <w:rsid w:val="00804922"/>
    <w:rsid w:val="008058D6"/>
    <w:rsid w:val="00806040"/>
    <w:rsid w:val="00811A99"/>
    <w:rsid w:val="008128BE"/>
    <w:rsid w:val="008148A7"/>
    <w:rsid w:val="00814CF2"/>
    <w:rsid w:val="00820E0A"/>
    <w:rsid w:val="008218F8"/>
    <w:rsid w:val="008234F2"/>
    <w:rsid w:val="0082399C"/>
    <w:rsid w:val="008242DB"/>
    <w:rsid w:val="00831323"/>
    <w:rsid w:val="0083376A"/>
    <w:rsid w:val="00834143"/>
    <w:rsid w:val="0083454A"/>
    <w:rsid w:val="008354F9"/>
    <w:rsid w:val="00835EE9"/>
    <w:rsid w:val="0083664A"/>
    <w:rsid w:val="00837B55"/>
    <w:rsid w:val="008565C1"/>
    <w:rsid w:val="00857D3F"/>
    <w:rsid w:val="0086049C"/>
    <w:rsid w:val="00862067"/>
    <w:rsid w:val="008629C8"/>
    <w:rsid w:val="00862FC6"/>
    <w:rsid w:val="00871BEE"/>
    <w:rsid w:val="00875DB8"/>
    <w:rsid w:val="00876596"/>
    <w:rsid w:val="00877553"/>
    <w:rsid w:val="00880C5A"/>
    <w:rsid w:val="00882090"/>
    <w:rsid w:val="0088583E"/>
    <w:rsid w:val="008870E9"/>
    <w:rsid w:val="00887DF6"/>
    <w:rsid w:val="00890439"/>
    <w:rsid w:val="00891783"/>
    <w:rsid w:val="00892690"/>
    <w:rsid w:val="00893286"/>
    <w:rsid w:val="00893AAB"/>
    <w:rsid w:val="00895207"/>
    <w:rsid w:val="008A0295"/>
    <w:rsid w:val="008A6B0A"/>
    <w:rsid w:val="008B134F"/>
    <w:rsid w:val="008B1D9F"/>
    <w:rsid w:val="008B2C00"/>
    <w:rsid w:val="008B3F87"/>
    <w:rsid w:val="008B5B6B"/>
    <w:rsid w:val="008B7888"/>
    <w:rsid w:val="008C1D12"/>
    <w:rsid w:val="008C2892"/>
    <w:rsid w:val="008D210F"/>
    <w:rsid w:val="008D2E22"/>
    <w:rsid w:val="008D3B63"/>
    <w:rsid w:val="008D41D9"/>
    <w:rsid w:val="008E62E3"/>
    <w:rsid w:val="008F0075"/>
    <w:rsid w:val="008F1C26"/>
    <w:rsid w:val="008F5BC6"/>
    <w:rsid w:val="00902646"/>
    <w:rsid w:val="00902681"/>
    <w:rsid w:val="00903D98"/>
    <w:rsid w:val="00906738"/>
    <w:rsid w:val="0090710B"/>
    <w:rsid w:val="009102AE"/>
    <w:rsid w:val="00914045"/>
    <w:rsid w:val="00914760"/>
    <w:rsid w:val="00924392"/>
    <w:rsid w:val="00924D68"/>
    <w:rsid w:val="00930C10"/>
    <w:rsid w:val="00934A3A"/>
    <w:rsid w:val="009431C3"/>
    <w:rsid w:val="00943D74"/>
    <w:rsid w:val="00960612"/>
    <w:rsid w:val="00960D2C"/>
    <w:rsid w:val="00961DFF"/>
    <w:rsid w:val="00963D92"/>
    <w:rsid w:val="00964704"/>
    <w:rsid w:val="00965B5B"/>
    <w:rsid w:val="00966B5D"/>
    <w:rsid w:val="00971316"/>
    <w:rsid w:val="00983989"/>
    <w:rsid w:val="00984275"/>
    <w:rsid w:val="00986AD2"/>
    <w:rsid w:val="0098788E"/>
    <w:rsid w:val="009908DC"/>
    <w:rsid w:val="009949ED"/>
    <w:rsid w:val="00995CED"/>
    <w:rsid w:val="0099678C"/>
    <w:rsid w:val="0099790F"/>
    <w:rsid w:val="00997C6C"/>
    <w:rsid w:val="009A31A5"/>
    <w:rsid w:val="009A4A17"/>
    <w:rsid w:val="009A4F5B"/>
    <w:rsid w:val="009B11E9"/>
    <w:rsid w:val="009B5DD8"/>
    <w:rsid w:val="009B617E"/>
    <w:rsid w:val="009B6811"/>
    <w:rsid w:val="009B7F94"/>
    <w:rsid w:val="009C016D"/>
    <w:rsid w:val="009C03F1"/>
    <w:rsid w:val="009C668F"/>
    <w:rsid w:val="009C6E8E"/>
    <w:rsid w:val="009D09A2"/>
    <w:rsid w:val="009D1223"/>
    <w:rsid w:val="009D2577"/>
    <w:rsid w:val="009D2C8A"/>
    <w:rsid w:val="009D6458"/>
    <w:rsid w:val="009D68C0"/>
    <w:rsid w:val="009D7F16"/>
    <w:rsid w:val="009E1593"/>
    <w:rsid w:val="009E2911"/>
    <w:rsid w:val="009E39F4"/>
    <w:rsid w:val="009E3C54"/>
    <w:rsid w:val="009E41AA"/>
    <w:rsid w:val="009E753A"/>
    <w:rsid w:val="009E7D27"/>
    <w:rsid w:val="009F0840"/>
    <w:rsid w:val="009F735D"/>
    <w:rsid w:val="009F7A31"/>
    <w:rsid w:val="00A00069"/>
    <w:rsid w:val="00A00558"/>
    <w:rsid w:val="00A0154B"/>
    <w:rsid w:val="00A0157F"/>
    <w:rsid w:val="00A0171B"/>
    <w:rsid w:val="00A02A49"/>
    <w:rsid w:val="00A02AD7"/>
    <w:rsid w:val="00A02E26"/>
    <w:rsid w:val="00A04A55"/>
    <w:rsid w:val="00A04BF4"/>
    <w:rsid w:val="00A05FAE"/>
    <w:rsid w:val="00A077BF"/>
    <w:rsid w:val="00A14E0C"/>
    <w:rsid w:val="00A16266"/>
    <w:rsid w:val="00A16FDF"/>
    <w:rsid w:val="00A23AB6"/>
    <w:rsid w:val="00A23B76"/>
    <w:rsid w:val="00A27B53"/>
    <w:rsid w:val="00A31081"/>
    <w:rsid w:val="00A319B8"/>
    <w:rsid w:val="00A34B57"/>
    <w:rsid w:val="00A46298"/>
    <w:rsid w:val="00A5225D"/>
    <w:rsid w:val="00A5312D"/>
    <w:rsid w:val="00A531DF"/>
    <w:rsid w:val="00A53269"/>
    <w:rsid w:val="00A536E9"/>
    <w:rsid w:val="00A57B13"/>
    <w:rsid w:val="00A62BB4"/>
    <w:rsid w:val="00A63A0A"/>
    <w:rsid w:val="00A65AFD"/>
    <w:rsid w:val="00A65E6D"/>
    <w:rsid w:val="00A6683E"/>
    <w:rsid w:val="00A71989"/>
    <w:rsid w:val="00A76E18"/>
    <w:rsid w:val="00A839E5"/>
    <w:rsid w:val="00A928CF"/>
    <w:rsid w:val="00A92C4E"/>
    <w:rsid w:val="00A937F5"/>
    <w:rsid w:val="00A93A54"/>
    <w:rsid w:val="00A949F0"/>
    <w:rsid w:val="00A95D3E"/>
    <w:rsid w:val="00AA1F6E"/>
    <w:rsid w:val="00AA3584"/>
    <w:rsid w:val="00AA4741"/>
    <w:rsid w:val="00AA6834"/>
    <w:rsid w:val="00AA6DE7"/>
    <w:rsid w:val="00AA748B"/>
    <w:rsid w:val="00AB635D"/>
    <w:rsid w:val="00AC1A3F"/>
    <w:rsid w:val="00AC27D4"/>
    <w:rsid w:val="00AC6701"/>
    <w:rsid w:val="00AC72F0"/>
    <w:rsid w:val="00AD4A8E"/>
    <w:rsid w:val="00AE331C"/>
    <w:rsid w:val="00AE5A06"/>
    <w:rsid w:val="00AF1F9F"/>
    <w:rsid w:val="00AF269C"/>
    <w:rsid w:val="00B0044F"/>
    <w:rsid w:val="00B01136"/>
    <w:rsid w:val="00B017FA"/>
    <w:rsid w:val="00B026F8"/>
    <w:rsid w:val="00B04BF8"/>
    <w:rsid w:val="00B132B0"/>
    <w:rsid w:val="00B24A3F"/>
    <w:rsid w:val="00B2549F"/>
    <w:rsid w:val="00B264D7"/>
    <w:rsid w:val="00B26739"/>
    <w:rsid w:val="00B26F5F"/>
    <w:rsid w:val="00B312D7"/>
    <w:rsid w:val="00B3583F"/>
    <w:rsid w:val="00B36775"/>
    <w:rsid w:val="00B36FB7"/>
    <w:rsid w:val="00B37CEB"/>
    <w:rsid w:val="00B40638"/>
    <w:rsid w:val="00B40FE0"/>
    <w:rsid w:val="00B40FE6"/>
    <w:rsid w:val="00B43857"/>
    <w:rsid w:val="00B475A0"/>
    <w:rsid w:val="00B479F3"/>
    <w:rsid w:val="00B47EC5"/>
    <w:rsid w:val="00B533FC"/>
    <w:rsid w:val="00B5420A"/>
    <w:rsid w:val="00B5677A"/>
    <w:rsid w:val="00B63373"/>
    <w:rsid w:val="00B6733F"/>
    <w:rsid w:val="00B734D4"/>
    <w:rsid w:val="00B74CA7"/>
    <w:rsid w:val="00B76208"/>
    <w:rsid w:val="00B77CBE"/>
    <w:rsid w:val="00B77F40"/>
    <w:rsid w:val="00B80BA1"/>
    <w:rsid w:val="00B81A6A"/>
    <w:rsid w:val="00B82DB0"/>
    <w:rsid w:val="00B83A04"/>
    <w:rsid w:val="00B902CB"/>
    <w:rsid w:val="00B9041B"/>
    <w:rsid w:val="00B92262"/>
    <w:rsid w:val="00B9243A"/>
    <w:rsid w:val="00B9244E"/>
    <w:rsid w:val="00B9630B"/>
    <w:rsid w:val="00BA128F"/>
    <w:rsid w:val="00BA4BBF"/>
    <w:rsid w:val="00BB0698"/>
    <w:rsid w:val="00BB19D4"/>
    <w:rsid w:val="00BB3887"/>
    <w:rsid w:val="00BB4FB3"/>
    <w:rsid w:val="00BB7FFB"/>
    <w:rsid w:val="00BC01AF"/>
    <w:rsid w:val="00BC09CE"/>
    <w:rsid w:val="00BC4584"/>
    <w:rsid w:val="00BC4DA3"/>
    <w:rsid w:val="00BC51CF"/>
    <w:rsid w:val="00BC581E"/>
    <w:rsid w:val="00BC650F"/>
    <w:rsid w:val="00BD3050"/>
    <w:rsid w:val="00BD3213"/>
    <w:rsid w:val="00BD330D"/>
    <w:rsid w:val="00BD359D"/>
    <w:rsid w:val="00BD7909"/>
    <w:rsid w:val="00BE0A1F"/>
    <w:rsid w:val="00BE17C9"/>
    <w:rsid w:val="00BE2307"/>
    <w:rsid w:val="00BE490D"/>
    <w:rsid w:val="00BF27C1"/>
    <w:rsid w:val="00BF283F"/>
    <w:rsid w:val="00BF55A9"/>
    <w:rsid w:val="00C0383F"/>
    <w:rsid w:val="00C06694"/>
    <w:rsid w:val="00C06D85"/>
    <w:rsid w:val="00C07A0B"/>
    <w:rsid w:val="00C1228F"/>
    <w:rsid w:val="00C207C1"/>
    <w:rsid w:val="00C20A88"/>
    <w:rsid w:val="00C20EA6"/>
    <w:rsid w:val="00C22A4D"/>
    <w:rsid w:val="00C2442B"/>
    <w:rsid w:val="00C2564E"/>
    <w:rsid w:val="00C27C4B"/>
    <w:rsid w:val="00C31066"/>
    <w:rsid w:val="00C32F28"/>
    <w:rsid w:val="00C36982"/>
    <w:rsid w:val="00C404A0"/>
    <w:rsid w:val="00C47057"/>
    <w:rsid w:val="00C54F37"/>
    <w:rsid w:val="00C55B5B"/>
    <w:rsid w:val="00C641F0"/>
    <w:rsid w:val="00C6457D"/>
    <w:rsid w:val="00C650E0"/>
    <w:rsid w:val="00C66720"/>
    <w:rsid w:val="00C669FD"/>
    <w:rsid w:val="00C70CC9"/>
    <w:rsid w:val="00C71C6C"/>
    <w:rsid w:val="00C722EF"/>
    <w:rsid w:val="00C74B6B"/>
    <w:rsid w:val="00C75736"/>
    <w:rsid w:val="00C76C91"/>
    <w:rsid w:val="00C77003"/>
    <w:rsid w:val="00C77039"/>
    <w:rsid w:val="00C772F2"/>
    <w:rsid w:val="00C8137E"/>
    <w:rsid w:val="00C837E8"/>
    <w:rsid w:val="00C84658"/>
    <w:rsid w:val="00C906DA"/>
    <w:rsid w:val="00C926DA"/>
    <w:rsid w:val="00C92C75"/>
    <w:rsid w:val="00C951A6"/>
    <w:rsid w:val="00C95C5D"/>
    <w:rsid w:val="00CA22AF"/>
    <w:rsid w:val="00CA3737"/>
    <w:rsid w:val="00CA7162"/>
    <w:rsid w:val="00CB6288"/>
    <w:rsid w:val="00CC18AF"/>
    <w:rsid w:val="00CC478A"/>
    <w:rsid w:val="00CC5E8C"/>
    <w:rsid w:val="00CC781B"/>
    <w:rsid w:val="00CD0730"/>
    <w:rsid w:val="00CD16E7"/>
    <w:rsid w:val="00CD29E1"/>
    <w:rsid w:val="00CD3C8F"/>
    <w:rsid w:val="00CD5269"/>
    <w:rsid w:val="00CD5D60"/>
    <w:rsid w:val="00CD7473"/>
    <w:rsid w:val="00CD7526"/>
    <w:rsid w:val="00CE216F"/>
    <w:rsid w:val="00CE2BF0"/>
    <w:rsid w:val="00CE2DBE"/>
    <w:rsid w:val="00CE4DCA"/>
    <w:rsid w:val="00CE59C4"/>
    <w:rsid w:val="00CE67B3"/>
    <w:rsid w:val="00CF0EB8"/>
    <w:rsid w:val="00CF243A"/>
    <w:rsid w:val="00CF4D34"/>
    <w:rsid w:val="00D03CC3"/>
    <w:rsid w:val="00D055BF"/>
    <w:rsid w:val="00D06BD4"/>
    <w:rsid w:val="00D120D5"/>
    <w:rsid w:val="00D120D9"/>
    <w:rsid w:val="00D12BD0"/>
    <w:rsid w:val="00D132D7"/>
    <w:rsid w:val="00D14A8D"/>
    <w:rsid w:val="00D203EE"/>
    <w:rsid w:val="00D21BC7"/>
    <w:rsid w:val="00D26213"/>
    <w:rsid w:val="00D26FC4"/>
    <w:rsid w:val="00D33481"/>
    <w:rsid w:val="00D370F0"/>
    <w:rsid w:val="00D40C51"/>
    <w:rsid w:val="00D41744"/>
    <w:rsid w:val="00D56E1F"/>
    <w:rsid w:val="00D60279"/>
    <w:rsid w:val="00D63FDC"/>
    <w:rsid w:val="00D64456"/>
    <w:rsid w:val="00D66A97"/>
    <w:rsid w:val="00D749D0"/>
    <w:rsid w:val="00D76A9A"/>
    <w:rsid w:val="00D778E0"/>
    <w:rsid w:val="00D81740"/>
    <w:rsid w:val="00D81C59"/>
    <w:rsid w:val="00D820DE"/>
    <w:rsid w:val="00D84261"/>
    <w:rsid w:val="00D84E26"/>
    <w:rsid w:val="00D84FC6"/>
    <w:rsid w:val="00D851FB"/>
    <w:rsid w:val="00D857E0"/>
    <w:rsid w:val="00D87291"/>
    <w:rsid w:val="00D92B45"/>
    <w:rsid w:val="00D95D47"/>
    <w:rsid w:val="00DA1FC1"/>
    <w:rsid w:val="00DA5A22"/>
    <w:rsid w:val="00DA5AE9"/>
    <w:rsid w:val="00DB0ECE"/>
    <w:rsid w:val="00DB5054"/>
    <w:rsid w:val="00DC1487"/>
    <w:rsid w:val="00DD16BA"/>
    <w:rsid w:val="00DD294D"/>
    <w:rsid w:val="00DD53A8"/>
    <w:rsid w:val="00DD5CAC"/>
    <w:rsid w:val="00DE0838"/>
    <w:rsid w:val="00DE2182"/>
    <w:rsid w:val="00DE3117"/>
    <w:rsid w:val="00DE3CA6"/>
    <w:rsid w:val="00DE4669"/>
    <w:rsid w:val="00DE5206"/>
    <w:rsid w:val="00DE6E10"/>
    <w:rsid w:val="00DF0237"/>
    <w:rsid w:val="00DF1F97"/>
    <w:rsid w:val="00DF4015"/>
    <w:rsid w:val="00DF4F9D"/>
    <w:rsid w:val="00DF52C9"/>
    <w:rsid w:val="00DF762F"/>
    <w:rsid w:val="00DF794B"/>
    <w:rsid w:val="00E001DA"/>
    <w:rsid w:val="00E061C5"/>
    <w:rsid w:val="00E073D5"/>
    <w:rsid w:val="00E17703"/>
    <w:rsid w:val="00E17E48"/>
    <w:rsid w:val="00E224B9"/>
    <w:rsid w:val="00E234C7"/>
    <w:rsid w:val="00E23669"/>
    <w:rsid w:val="00E23C02"/>
    <w:rsid w:val="00E24839"/>
    <w:rsid w:val="00E25504"/>
    <w:rsid w:val="00E27199"/>
    <w:rsid w:val="00E3018E"/>
    <w:rsid w:val="00E30ACF"/>
    <w:rsid w:val="00E352C0"/>
    <w:rsid w:val="00E42149"/>
    <w:rsid w:val="00E44BB7"/>
    <w:rsid w:val="00E45EF9"/>
    <w:rsid w:val="00E47AFA"/>
    <w:rsid w:val="00E47B3E"/>
    <w:rsid w:val="00E50664"/>
    <w:rsid w:val="00E525A5"/>
    <w:rsid w:val="00E53C1B"/>
    <w:rsid w:val="00E57D92"/>
    <w:rsid w:val="00E606B8"/>
    <w:rsid w:val="00E62D76"/>
    <w:rsid w:val="00E63833"/>
    <w:rsid w:val="00E6384C"/>
    <w:rsid w:val="00E65C4E"/>
    <w:rsid w:val="00E65E46"/>
    <w:rsid w:val="00E6680F"/>
    <w:rsid w:val="00E77669"/>
    <w:rsid w:val="00E815FE"/>
    <w:rsid w:val="00E90E70"/>
    <w:rsid w:val="00E91307"/>
    <w:rsid w:val="00E95F48"/>
    <w:rsid w:val="00E963FB"/>
    <w:rsid w:val="00E9657A"/>
    <w:rsid w:val="00EA274C"/>
    <w:rsid w:val="00EA39B2"/>
    <w:rsid w:val="00EA71FB"/>
    <w:rsid w:val="00EA7A7F"/>
    <w:rsid w:val="00EB1729"/>
    <w:rsid w:val="00EB32F1"/>
    <w:rsid w:val="00EB5C63"/>
    <w:rsid w:val="00EB6795"/>
    <w:rsid w:val="00EC0930"/>
    <w:rsid w:val="00EC2B12"/>
    <w:rsid w:val="00EC53AC"/>
    <w:rsid w:val="00EC6F53"/>
    <w:rsid w:val="00ED2341"/>
    <w:rsid w:val="00ED7351"/>
    <w:rsid w:val="00EE03ED"/>
    <w:rsid w:val="00EE0ADE"/>
    <w:rsid w:val="00EE27A5"/>
    <w:rsid w:val="00EE3188"/>
    <w:rsid w:val="00EE377F"/>
    <w:rsid w:val="00EF250B"/>
    <w:rsid w:val="00EF2656"/>
    <w:rsid w:val="00EF34DF"/>
    <w:rsid w:val="00EF61CB"/>
    <w:rsid w:val="00F00829"/>
    <w:rsid w:val="00F0395F"/>
    <w:rsid w:val="00F05B94"/>
    <w:rsid w:val="00F07386"/>
    <w:rsid w:val="00F077F4"/>
    <w:rsid w:val="00F10B86"/>
    <w:rsid w:val="00F14E84"/>
    <w:rsid w:val="00F1695F"/>
    <w:rsid w:val="00F20C03"/>
    <w:rsid w:val="00F21ECD"/>
    <w:rsid w:val="00F229B9"/>
    <w:rsid w:val="00F24F0D"/>
    <w:rsid w:val="00F250DA"/>
    <w:rsid w:val="00F30040"/>
    <w:rsid w:val="00F304B9"/>
    <w:rsid w:val="00F3148B"/>
    <w:rsid w:val="00F32047"/>
    <w:rsid w:val="00F32DFA"/>
    <w:rsid w:val="00F40704"/>
    <w:rsid w:val="00F41CCC"/>
    <w:rsid w:val="00F4200C"/>
    <w:rsid w:val="00F42397"/>
    <w:rsid w:val="00F44BB6"/>
    <w:rsid w:val="00F46C41"/>
    <w:rsid w:val="00F546C7"/>
    <w:rsid w:val="00F54B30"/>
    <w:rsid w:val="00F54D3A"/>
    <w:rsid w:val="00F6177A"/>
    <w:rsid w:val="00F62D8C"/>
    <w:rsid w:val="00F63255"/>
    <w:rsid w:val="00F668D3"/>
    <w:rsid w:val="00F73D0A"/>
    <w:rsid w:val="00F75F08"/>
    <w:rsid w:val="00F77BDB"/>
    <w:rsid w:val="00F82EAD"/>
    <w:rsid w:val="00F8408E"/>
    <w:rsid w:val="00F85DA0"/>
    <w:rsid w:val="00F90FDA"/>
    <w:rsid w:val="00F92FEB"/>
    <w:rsid w:val="00F93FB1"/>
    <w:rsid w:val="00F95D5D"/>
    <w:rsid w:val="00F96824"/>
    <w:rsid w:val="00F96AC3"/>
    <w:rsid w:val="00FA1595"/>
    <w:rsid w:val="00FA1DB3"/>
    <w:rsid w:val="00FA5322"/>
    <w:rsid w:val="00FA555E"/>
    <w:rsid w:val="00FA7040"/>
    <w:rsid w:val="00FA711F"/>
    <w:rsid w:val="00FB0939"/>
    <w:rsid w:val="00FB152F"/>
    <w:rsid w:val="00FB1FC5"/>
    <w:rsid w:val="00FB4EED"/>
    <w:rsid w:val="00FB6630"/>
    <w:rsid w:val="00FB75B7"/>
    <w:rsid w:val="00FB7823"/>
    <w:rsid w:val="00FC0F56"/>
    <w:rsid w:val="00FC1A40"/>
    <w:rsid w:val="00FC3249"/>
    <w:rsid w:val="00FC4186"/>
    <w:rsid w:val="00FC4CA2"/>
    <w:rsid w:val="00FC5288"/>
    <w:rsid w:val="00FD3FC0"/>
    <w:rsid w:val="00FD406D"/>
    <w:rsid w:val="00FD426B"/>
    <w:rsid w:val="00FD4415"/>
    <w:rsid w:val="00FD59B8"/>
    <w:rsid w:val="00FD5E46"/>
    <w:rsid w:val="00FD64F7"/>
    <w:rsid w:val="00FD729D"/>
    <w:rsid w:val="00FE1EC2"/>
    <w:rsid w:val="00FE2386"/>
    <w:rsid w:val="00FE4AB3"/>
    <w:rsid w:val="00FE5649"/>
    <w:rsid w:val="00FE76AC"/>
    <w:rsid w:val="00FF1C17"/>
    <w:rsid w:val="00FF3905"/>
    <w:rsid w:val="00FF4E3C"/>
    <w:rsid w:val="00FF523D"/>
    <w:rsid w:val="00FF5B46"/>
    <w:rsid w:val="00FF692F"/>
    <w:rsid w:val="3A19782E"/>
    <w:rsid w:val="3D20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BFC88C"/>
  <w15:docId w15:val="{6A136995-11E8-43AD-92EC-730FD799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223"/>
    <w:rPr>
      <w:rFonts w:ascii="Times New Roman" w:hAnsi="Times New Roman"/>
      <w:sz w:val="24"/>
    </w:rPr>
  </w:style>
  <w:style w:type="paragraph" w:styleId="Heading1">
    <w:name w:val="heading 1"/>
    <w:basedOn w:val="Normal"/>
    <w:next w:val="Normal"/>
    <w:link w:val="Heading1Char"/>
    <w:uiPriority w:val="9"/>
    <w:qFormat/>
    <w:rsid w:val="00B01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11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55A9"/>
    <w:pPr>
      <w:keepNext/>
      <w:keepLines/>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4C55A9"/>
    <w:pPr>
      <w:keepNext/>
      <w:keepLines/>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4C55A9"/>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4C55A9"/>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4C55A9"/>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unhideWhenUsed/>
    <w:qFormat/>
    <w:rsid w:val="004C55A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C55A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1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113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011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113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01136"/>
    <w:rPr>
      <w:sz w:val="24"/>
    </w:rPr>
  </w:style>
  <w:style w:type="character" w:styleId="Hyperlink">
    <w:name w:val="Hyperlink"/>
    <w:rsid w:val="00A95D3E"/>
    <w:rPr>
      <w:color w:val="0000FF"/>
      <w:u w:val="single"/>
    </w:rPr>
  </w:style>
  <w:style w:type="paragraph" w:styleId="ListParagraph">
    <w:name w:val="List Paragraph"/>
    <w:basedOn w:val="Normal"/>
    <w:qFormat/>
    <w:rsid w:val="00A95D3E"/>
    <w:pPr>
      <w:ind w:left="720"/>
      <w:contextualSpacing/>
    </w:pPr>
    <w:rPr>
      <w:rFonts w:eastAsia="Times New Roman" w:cs="Times New Roman"/>
      <w:szCs w:val="24"/>
    </w:rPr>
  </w:style>
  <w:style w:type="paragraph" w:styleId="Header">
    <w:name w:val="header"/>
    <w:basedOn w:val="Normal"/>
    <w:link w:val="HeaderChar"/>
    <w:uiPriority w:val="99"/>
    <w:unhideWhenUsed/>
    <w:rsid w:val="00A95D3E"/>
    <w:pPr>
      <w:tabs>
        <w:tab w:val="center" w:pos="4680"/>
        <w:tab w:val="right" w:pos="9360"/>
      </w:tabs>
    </w:pPr>
  </w:style>
  <w:style w:type="character" w:customStyle="1" w:styleId="HeaderChar">
    <w:name w:val="Header Char"/>
    <w:basedOn w:val="DefaultParagraphFont"/>
    <w:link w:val="Header"/>
    <w:uiPriority w:val="99"/>
    <w:rsid w:val="00A95D3E"/>
    <w:rPr>
      <w:rFonts w:ascii="Times New Roman" w:hAnsi="Times New Roman"/>
      <w:sz w:val="24"/>
    </w:rPr>
  </w:style>
  <w:style w:type="paragraph" w:styleId="Footer">
    <w:name w:val="footer"/>
    <w:basedOn w:val="Normal"/>
    <w:link w:val="FooterChar"/>
    <w:uiPriority w:val="99"/>
    <w:unhideWhenUsed/>
    <w:rsid w:val="00A95D3E"/>
    <w:pPr>
      <w:tabs>
        <w:tab w:val="center" w:pos="4680"/>
        <w:tab w:val="right" w:pos="9360"/>
      </w:tabs>
    </w:pPr>
  </w:style>
  <w:style w:type="character" w:customStyle="1" w:styleId="FooterChar">
    <w:name w:val="Footer Char"/>
    <w:basedOn w:val="DefaultParagraphFont"/>
    <w:link w:val="Footer"/>
    <w:uiPriority w:val="99"/>
    <w:rsid w:val="00A95D3E"/>
    <w:rPr>
      <w:rFonts w:ascii="Times New Roman" w:hAnsi="Times New Roman"/>
      <w:sz w:val="24"/>
    </w:rPr>
  </w:style>
  <w:style w:type="character" w:styleId="CommentReference">
    <w:name w:val="annotation reference"/>
    <w:basedOn w:val="DefaultParagraphFont"/>
    <w:uiPriority w:val="99"/>
    <w:semiHidden/>
    <w:unhideWhenUsed/>
    <w:rsid w:val="00995CED"/>
    <w:rPr>
      <w:sz w:val="16"/>
      <w:szCs w:val="16"/>
    </w:rPr>
  </w:style>
  <w:style w:type="paragraph" w:styleId="CommentText">
    <w:name w:val="annotation text"/>
    <w:basedOn w:val="Normal"/>
    <w:link w:val="CommentTextChar"/>
    <w:uiPriority w:val="99"/>
    <w:semiHidden/>
    <w:unhideWhenUsed/>
    <w:rsid w:val="00995CED"/>
    <w:rPr>
      <w:sz w:val="20"/>
      <w:szCs w:val="20"/>
    </w:rPr>
  </w:style>
  <w:style w:type="character" w:customStyle="1" w:styleId="CommentTextChar">
    <w:name w:val="Comment Text Char"/>
    <w:basedOn w:val="DefaultParagraphFont"/>
    <w:link w:val="CommentText"/>
    <w:uiPriority w:val="99"/>
    <w:semiHidden/>
    <w:rsid w:val="00995CE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5CED"/>
    <w:rPr>
      <w:b/>
      <w:bCs/>
    </w:rPr>
  </w:style>
  <w:style w:type="character" w:customStyle="1" w:styleId="CommentSubjectChar">
    <w:name w:val="Comment Subject Char"/>
    <w:basedOn w:val="CommentTextChar"/>
    <w:link w:val="CommentSubject"/>
    <w:uiPriority w:val="99"/>
    <w:semiHidden/>
    <w:rsid w:val="00995CED"/>
    <w:rPr>
      <w:rFonts w:ascii="Times New Roman" w:hAnsi="Times New Roman"/>
      <w:b/>
      <w:bCs/>
      <w:sz w:val="20"/>
      <w:szCs w:val="20"/>
    </w:rPr>
  </w:style>
  <w:style w:type="paragraph" w:styleId="BalloonText">
    <w:name w:val="Balloon Text"/>
    <w:basedOn w:val="Normal"/>
    <w:link w:val="BalloonTextChar"/>
    <w:uiPriority w:val="99"/>
    <w:semiHidden/>
    <w:unhideWhenUsed/>
    <w:rsid w:val="00995CED"/>
    <w:rPr>
      <w:rFonts w:ascii="Tahoma" w:hAnsi="Tahoma" w:cs="Tahoma"/>
      <w:sz w:val="16"/>
      <w:szCs w:val="16"/>
    </w:rPr>
  </w:style>
  <w:style w:type="character" w:customStyle="1" w:styleId="BalloonTextChar">
    <w:name w:val="Balloon Text Char"/>
    <w:basedOn w:val="DefaultParagraphFont"/>
    <w:link w:val="BalloonText"/>
    <w:uiPriority w:val="99"/>
    <w:semiHidden/>
    <w:rsid w:val="00995CED"/>
    <w:rPr>
      <w:rFonts w:ascii="Tahoma" w:hAnsi="Tahoma" w:cs="Tahoma"/>
      <w:sz w:val="16"/>
      <w:szCs w:val="16"/>
    </w:rPr>
  </w:style>
  <w:style w:type="character" w:styleId="FollowedHyperlink">
    <w:name w:val="FollowedHyperlink"/>
    <w:basedOn w:val="DefaultParagraphFont"/>
    <w:uiPriority w:val="99"/>
    <w:semiHidden/>
    <w:unhideWhenUsed/>
    <w:rsid w:val="00A53269"/>
    <w:rPr>
      <w:color w:val="800080" w:themeColor="followedHyperlink"/>
      <w:u w:val="single"/>
    </w:rPr>
  </w:style>
  <w:style w:type="character" w:customStyle="1" w:styleId="Heading3Char">
    <w:name w:val="Heading 3 Char"/>
    <w:basedOn w:val="DefaultParagraphFont"/>
    <w:link w:val="Heading3"/>
    <w:uiPriority w:val="9"/>
    <w:rsid w:val="004C55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C55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C55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C55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C55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C55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C55A9"/>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365294"/>
    <w:rPr>
      <w:rFonts w:ascii="Times New Roman" w:hAnsi="Times New Roman"/>
      <w:sz w:val="24"/>
    </w:rPr>
  </w:style>
  <w:style w:type="character" w:customStyle="1" w:styleId="UnresolvedMention1">
    <w:name w:val="Unresolved Mention1"/>
    <w:basedOn w:val="DefaultParagraphFont"/>
    <w:uiPriority w:val="99"/>
    <w:semiHidden/>
    <w:unhideWhenUsed/>
    <w:rsid w:val="00214F52"/>
    <w:rPr>
      <w:color w:val="808080"/>
      <w:shd w:val="clear" w:color="auto" w:fill="E6E6E6"/>
    </w:rPr>
  </w:style>
  <w:style w:type="numbering" w:customStyle="1" w:styleId="NoList1">
    <w:name w:val="No List1"/>
    <w:next w:val="NoList"/>
    <w:uiPriority w:val="99"/>
    <w:semiHidden/>
    <w:unhideWhenUsed/>
    <w:rsid w:val="00C20A88"/>
  </w:style>
  <w:style w:type="character" w:customStyle="1" w:styleId="UnresolvedMention2">
    <w:name w:val="Unresolved Mention2"/>
    <w:basedOn w:val="DefaultParagraphFont"/>
    <w:uiPriority w:val="99"/>
    <w:semiHidden/>
    <w:unhideWhenUsed/>
    <w:rsid w:val="001434B1"/>
    <w:rPr>
      <w:color w:val="808080"/>
      <w:shd w:val="clear" w:color="auto" w:fill="E6E6E6"/>
    </w:rPr>
  </w:style>
  <w:style w:type="character" w:customStyle="1" w:styleId="UnresolvedMention3">
    <w:name w:val="Unresolved Mention3"/>
    <w:basedOn w:val="DefaultParagraphFont"/>
    <w:uiPriority w:val="99"/>
    <w:semiHidden/>
    <w:unhideWhenUsed/>
    <w:rsid w:val="008B134F"/>
    <w:rPr>
      <w:color w:val="808080"/>
      <w:shd w:val="clear" w:color="auto" w:fill="E6E6E6"/>
    </w:rPr>
  </w:style>
  <w:style w:type="numbering" w:customStyle="1" w:styleId="NoList2">
    <w:name w:val="No List2"/>
    <w:next w:val="NoList"/>
    <w:uiPriority w:val="99"/>
    <w:semiHidden/>
    <w:unhideWhenUsed/>
    <w:rsid w:val="00A23AB6"/>
  </w:style>
  <w:style w:type="numbering" w:customStyle="1" w:styleId="NoList3">
    <w:name w:val="No List3"/>
    <w:next w:val="NoList"/>
    <w:uiPriority w:val="99"/>
    <w:semiHidden/>
    <w:unhideWhenUsed/>
    <w:rsid w:val="00DF0237"/>
  </w:style>
  <w:style w:type="table" w:customStyle="1" w:styleId="TableGrid1">
    <w:name w:val="Table Grid1"/>
    <w:basedOn w:val="TableNormal"/>
    <w:next w:val="TableGrid"/>
    <w:uiPriority w:val="59"/>
    <w:rsid w:val="000B7AEF"/>
    <w:rPr>
      <w:rFonts w:ascii="Cambria" w:hAnsi="Cambria"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473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2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5577">
      <w:bodyDiv w:val="1"/>
      <w:marLeft w:val="0"/>
      <w:marRight w:val="0"/>
      <w:marTop w:val="0"/>
      <w:marBottom w:val="0"/>
      <w:divBdr>
        <w:top w:val="none" w:sz="0" w:space="0" w:color="auto"/>
        <w:left w:val="none" w:sz="0" w:space="0" w:color="auto"/>
        <w:bottom w:val="none" w:sz="0" w:space="0" w:color="auto"/>
        <w:right w:val="none" w:sz="0" w:space="0" w:color="auto"/>
      </w:divBdr>
    </w:div>
    <w:div w:id="53356168">
      <w:bodyDiv w:val="1"/>
      <w:marLeft w:val="0"/>
      <w:marRight w:val="0"/>
      <w:marTop w:val="0"/>
      <w:marBottom w:val="0"/>
      <w:divBdr>
        <w:top w:val="none" w:sz="0" w:space="0" w:color="auto"/>
        <w:left w:val="none" w:sz="0" w:space="0" w:color="auto"/>
        <w:bottom w:val="none" w:sz="0" w:space="0" w:color="auto"/>
        <w:right w:val="none" w:sz="0" w:space="0" w:color="auto"/>
      </w:divBdr>
    </w:div>
    <w:div w:id="139616908">
      <w:bodyDiv w:val="1"/>
      <w:marLeft w:val="0"/>
      <w:marRight w:val="0"/>
      <w:marTop w:val="0"/>
      <w:marBottom w:val="0"/>
      <w:divBdr>
        <w:top w:val="none" w:sz="0" w:space="0" w:color="auto"/>
        <w:left w:val="none" w:sz="0" w:space="0" w:color="auto"/>
        <w:bottom w:val="none" w:sz="0" w:space="0" w:color="auto"/>
        <w:right w:val="none" w:sz="0" w:space="0" w:color="auto"/>
      </w:divBdr>
    </w:div>
    <w:div w:id="247272869">
      <w:bodyDiv w:val="1"/>
      <w:marLeft w:val="0"/>
      <w:marRight w:val="0"/>
      <w:marTop w:val="0"/>
      <w:marBottom w:val="0"/>
      <w:divBdr>
        <w:top w:val="none" w:sz="0" w:space="0" w:color="auto"/>
        <w:left w:val="none" w:sz="0" w:space="0" w:color="auto"/>
        <w:bottom w:val="none" w:sz="0" w:space="0" w:color="auto"/>
        <w:right w:val="none" w:sz="0" w:space="0" w:color="auto"/>
      </w:divBdr>
    </w:div>
    <w:div w:id="277373755">
      <w:bodyDiv w:val="1"/>
      <w:marLeft w:val="0"/>
      <w:marRight w:val="0"/>
      <w:marTop w:val="0"/>
      <w:marBottom w:val="0"/>
      <w:divBdr>
        <w:top w:val="none" w:sz="0" w:space="0" w:color="auto"/>
        <w:left w:val="none" w:sz="0" w:space="0" w:color="auto"/>
        <w:bottom w:val="none" w:sz="0" w:space="0" w:color="auto"/>
        <w:right w:val="none" w:sz="0" w:space="0" w:color="auto"/>
      </w:divBdr>
    </w:div>
    <w:div w:id="278269137">
      <w:bodyDiv w:val="1"/>
      <w:marLeft w:val="0"/>
      <w:marRight w:val="0"/>
      <w:marTop w:val="0"/>
      <w:marBottom w:val="0"/>
      <w:divBdr>
        <w:top w:val="none" w:sz="0" w:space="0" w:color="auto"/>
        <w:left w:val="none" w:sz="0" w:space="0" w:color="auto"/>
        <w:bottom w:val="none" w:sz="0" w:space="0" w:color="auto"/>
        <w:right w:val="none" w:sz="0" w:space="0" w:color="auto"/>
      </w:divBdr>
    </w:div>
    <w:div w:id="297800740">
      <w:bodyDiv w:val="1"/>
      <w:marLeft w:val="0"/>
      <w:marRight w:val="0"/>
      <w:marTop w:val="0"/>
      <w:marBottom w:val="0"/>
      <w:divBdr>
        <w:top w:val="none" w:sz="0" w:space="0" w:color="auto"/>
        <w:left w:val="none" w:sz="0" w:space="0" w:color="auto"/>
        <w:bottom w:val="none" w:sz="0" w:space="0" w:color="auto"/>
        <w:right w:val="none" w:sz="0" w:space="0" w:color="auto"/>
      </w:divBdr>
    </w:div>
    <w:div w:id="397364087">
      <w:bodyDiv w:val="1"/>
      <w:marLeft w:val="0"/>
      <w:marRight w:val="0"/>
      <w:marTop w:val="0"/>
      <w:marBottom w:val="0"/>
      <w:divBdr>
        <w:top w:val="none" w:sz="0" w:space="0" w:color="auto"/>
        <w:left w:val="none" w:sz="0" w:space="0" w:color="auto"/>
        <w:bottom w:val="none" w:sz="0" w:space="0" w:color="auto"/>
        <w:right w:val="none" w:sz="0" w:space="0" w:color="auto"/>
      </w:divBdr>
    </w:div>
    <w:div w:id="401874631">
      <w:bodyDiv w:val="1"/>
      <w:marLeft w:val="0"/>
      <w:marRight w:val="0"/>
      <w:marTop w:val="0"/>
      <w:marBottom w:val="0"/>
      <w:divBdr>
        <w:top w:val="none" w:sz="0" w:space="0" w:color="auto"/>
        <w:left w:val="none" w:sz="0" w:space="0" w:color="auto"/>
        <w:bottom w:val="none" w:sz="0" w:space="0" w:color="auto"/>
        <w:right w:val="none" w:sz="0" w:space="0" w:color="auto"/>
      </w:divBdr>
    </w:div>
    <w:div w:id="448012326">
      <w:bodyDiv w:val="1"/>
      <w:marLeft w:val="0"/>
      <w:marRight w:val="0"/>
      <w:marTop w:val="0"/>
      <w:marBottom w:val="0"/>
      <w:divBdr>
        <w:top w:val="none" w:sz="0" w:space="0" w:color="auto"/>
        <w:left w:val="none" w:sz="0" w:space="0" w:color="auto"/>
        <w:bottom w:val="none" w:sz="0" w:space="0" w:color="auto"/>
        <w:right w:val="none" w:sz="0" w:space="0" w:color="auto"/>
      </w:divBdr>
    </w:div>
    <w:div w:id="518853605">
      <w:bodyDiv w:val="1"/>
      <w:marLeft w:val="0"/>
      <w:marRight w:val="0"/>
      <w:marTop w:val="0"/>
      <w:marBottom w:val="0"/>
      <w:divBdr>
        <w:top w:val="none" w:sz="0" w:space="0" w:color="auto"/>
        <w:left w:val="none" w:sz="0" w:space="0" w:color="auto"/>
        <w:bottom w:val="none" w:sz="0" w:space="0" w:color="auto"/>
        <w:right w:val="none" w:sz="0" w:space="0" w:color="auto"/>
      </w:divBdr>
    </w:div>
    <w:div w:id="546256120">
      <w:bodyDiv w:val="1"/>
      <w:marLeft w:val="0"/>
      <w:marRight w:val="0"/>
      <w:marTop w:val="0"/>
      <w:marBottom w:val="0"/>
      <w:divBdr>
        <w:top w:val="none" w:sz="0" w:space="0" w:color="auto"/>
        <w:left w:val="none" w:sz="0" w:space="0" w:color="auto"/>
        <w:bottom w:val="none" w:sz="0" w:space="0" w:color="auto"/>
        <w:right w:val="none" w:sz="0" w:space="0" w:color="auto"/>
      </w:divBdr>
    </w:div>
    <w:div w:id="611060224">
      <w:bodyDiv w:val="1"/>
      <w:marLeft w:val="0"/>
      <w:marRight w:val="0"/>
      <w:marTop w:val="0"/>
      <w:marBottom w:val="0"/>
      <w:divBdr>
        <w:top w:val="none" w:sz="0" w:space="0" w:color="auto"/>
        <w:left w:val="none" w:sz="0" w:space="0" w:color="auto"/>
        <w:bottom w:val="none" w:sz="0" w:space="0" w:color="auto"/>
        <w:right w:val="none" w:sz="0" w:space="0" w:color="auto"/>
      </w:divBdr>
    </w:div>
    <w:div w:id="712653045">
      <w:bodyDiv w:val="1"/>
      <w:marLeft w:val="0"/>
      <w:marRight w:val="0"/>
      <w:marTop w:val="0"/>
      <w:marBottom w:val="0"/>
      <w:divBdr>
        <w:top w:val="none" w:sz="0" w:space="0" w:color="auto"/>
        <w:left w:val="none" w:sz="0" w:space="0" w:color="auto"/>
        <w:bottom w:val="none" w:sz="0" w:space="0" w:color="auto"/>
        <w:right w:val="none" w:sz="0" w:space="0" w:color="auto"/>
      </w:divBdr>
    </w:div>
    <w:div w:id="737823693">
      <w:bodyDiv w:val="1"/>
      <w:marLeft w:val="0"/>
      <w:marRight w:val="0"/>
      <w:marTop w:val="0"/>
      <w:marBottom w:val="0"/>
      <w:divBdr>
        <w:top w:val="none" w:sz="0" w:space="0" w:color="auto"/>
        <w:left w:val="none" w:sz="0" w:space="0" w:color="auto"/>
        <w:bottom w:val="none" w:sz="0" w:space="0" w:color="auto"/>
        <w:right w:val="none" w:sz="0" w:space="0" w:color="auto"/>
      </w:divBdr>
    </w:div>
    <w:div w:id="742264697">
      <w:bodyDiv w:val="1"/>
      <w:marLeft w:val="0"/>
      <w:marRight w:val="0"/>
      <w:marTop w:val="0"/>
      <w:marBottom w:val="0"/>
      <w:divBdr>
        <w:top w:val="none" w:sz="0" w:space="0" w:color="auto"/>
        <w:left w:val="none" w:sz="0" w:space="0" w:color="auto"/>
        <w:bottom w:val="none" w:sz="0" w:space="0" w:color="auto"/>
        <w:right w:val="none" w:sz="0" w:space="0" w:color="auto"/>
      </w:divBdr>
    </w:div>
    <w:div w:id="754277345">
      <w:bodyDiv w:val="1"/>
      <w:marLeft w:val="0"/>
      <w:marRight w:val="0"/>
      <w:marTop w:val="0"/>
      <w:marBottom w:val="0"/>
      <w:divBdr>
        <w:top w:val="none" w:sz="0" w:space="0" w:color="auto"/>
        <w:left w:val="none" w:sz="0" w:space="0" w:color="auto"/>
        <w:bottom w:val="none" w:sz="0" w:space="0" w:color="auto"/>
        <w:right w:val="none" w:sz="0" w:space="0" w:color="auto"/>
      </w:divBdr>
    </w:div>
    <w:div w:id="788627207">
      <w:bodyDiv w:val="1"/>
      <w:marLeft w:val="0"/>
      <w:marRight w:val="0"/>
      <w:marTop w:val="0"/>
      <w:marBottom w:val="0"/>
      <w:divBdr>
        <w:top w:val="none" w:sz="0" w:space="0" w:color="auto"/>
        <w:left w:val="none" w:sz="0" w:space="0" w:color="auto"/>
        <w:bottom w:val="none" w:sz="0" w:space="0" w:color="auto"/>
        <w:right w:val="none" w:sz="0" w:space="0" w:color="auto"/>
      </w:divBdr>
    </w:div>
    <w:div w:id="907959605">
      <w:bodyDiv w:val="1"/>
      <w:marLeft w:val="0"/>
      <w:marRight w:val="0"/>
      <w:marTop w:val="0"/>
      <w:marBottom w:val="0"/>
      <w:divBdr>
        <w:top w:val="none" w:sz="0" w:space="0" w:color="auto"/>
        <w:left w:val="none" w:sz="0" w:space="0" w:color="auto"/>
        <w:bottom w:val="none" w:sz="0" w:space="0" w:color="auto"/>
        <w:right w:val="none" w:sz="0" w:space="0" w:color="auto"/>
      </w:divBdr>
    </w:div>
    <w:div w:id="921838067">
      <w:bodyDiv w:val="1"/>
      <w:marLeft w:val="0"/>
      <w:marRight w:val="0"/>
      <w:marTop w:val="0"/>
      <w:marBottom w:val="0"/>
      <w:divBdr>
        <w:top w:val="none" w:sz="0" w:space="0" w:color="auto"/>
        <w:left w:val="none" w:sz="0" w:space="0" w:color="auto"/>
        <w:bottom w:val="none" w:sz="0" w:space="0" w:color="auto"/>
        <w:right w:val="none" w:sz="0" w:space="0" w:color="auto"/>
      </w:divBdr>
    </w:div>
    <w:div w:id="934051021">
      <w:bodyDiv w:val="1"/>
      <w:marLeft w:val="0"/>
      <w:marRight w:val="0"/>
      <w:marTop w:val="0"/>
      <w:marBottom w:val="0"/>
      <w:divBdr>
        <w:top w:val="none" w:sz="0" w:space="0" w:color="auto"/>
        <w:left w:val="none" w:sz="0" w:space="0" w:color="auto"/>
        <w:bottom w:val="none" w:sz="0" w:space="0" w:color="auto"/>
        <w:right w:val="none" w:sz="0" w:space="0" w:color="auto"/>
      </w:divBdr>
    </w:div>
    <w:div w:id="936909554">
      <w:bodyDiv w:val="1"/>
      <w:marLeft w:val="0"/>
      <w:marRight w:val="0"/>
      <w:marTop w:val="0"/>
      <w:marBottom w:val="0"/>
      <w:divBdr>
        <w:top w:val="none" w:sz="0" w:space="0" w:color="auto"/>
        <w:left w:val="none" w:sz="0" w:space="0" w:color="auto"/>
        <w:bottom w:val="none" w:sz="0" w:space="0" w:color="auto"/>
        <w:right w:val="none" w:sz="0" w:space="0" w:color="auto"/>
      </w:divBdr>
    </w:div>
    <w:div w:id="954872444">
      <w:bodyDiv w:val="1"/>
      <w:marLeft w:val="0"/>
      <w:marRight w:val="0"/>
      <w:marTop w:val="0"/>
      <w:marBottom w:val="0"/>
      <w:divBdr>
        <w:top w:val="none" w:sz="0" w:space="0" w:color="auto"/>
        <w:left w:val="none" w:sz="0" w:space="0" w:color="auto"/>
        <w:bottom w:val="none" w:sz="0" w:space="0" w:color="auto"/>
        <w:right w:val="none" w:sz="0" w:space="0" w:color="auto"/>
      </w:divBdr>
    </w:div>
    <w:div w:id="968820179">
      <w:bodyDiv w:val="1"/>
      <w:marLeft w:val="0"/>
      <w:marRight w:val="0"/>
      <w:marTop w:val="0"/>
      <w:marBottom w:val="0"/>
      <w:divBdr>
        <w:top w:val="none" w:sz="0" w:space="0" w:color="auto"/>
        <w:left w:val="none" w:sz="0" w:space="0" w:color="auto"/>
        <w:bottom w:val="none" w:sz="0" w:space="0" w:color="auto"/>
        <w:right w:val="none" w:sz="0" w:space="0" w:color="auto"/>
      </w:divBdr>
    </w:div>
    <w:div w:id="985545267">
      <w:bodyDiv w:val="1"/>
      <w:marLeft w:val="0"/>
      <w:marRight w:val="0"/>
      <w:marTop w:val="0"/>
      <w:marBottom w:val="0"/>
      <w:divBdr>
        <w:top w:val="none" w:sz="0" w:space="0" w:color="auto"/>
        <w:left w:val="none" w:sz="0" w:space="0" w:color="auto"/>
        <w:bottom w:val="none" w:sz="0" w:space="0" w:color="auto"/>
        <w:right w:val="none" w:sz="0" w:space="0" w:color="auto"/>
      </w:divBdr>
    </w:div>
    <w:div w:id="1043285274">
      <w:bodyDiv w:val="1"/>
      <w:marLeft w:val="0"/>
      <w:marRight w:val="0"/>
      <w:marTop w:val="0"/>
      <w:marBottom w:val="0"/>
      <w:divBdr>
        <w:top w:val="none" w:sz="0" w:space="0" w:color="auto"/>
        <w:left w:val="none" w:sz="0" w:space="0" w:color="auto"/>
        <w:bottom w:val="none" w:sz="0" w:space="0" w:color="auto"/>
        <w:right w:val="none" w:sz="0" w:space="0" w:color="auto"/>
      </w:divBdr>
    </w:div>
    <w:div w:id="1051807772">
      <w:bodyDiv w:val="1"/>
      <w:marLeft w:val="0"/>
      <w:marRight w:val="0"/>
      <w:marTop w:val="0"/>
      <w:marBottom w:val="0"/>
      <w:divBdr>
        <w:top w:val="none" w:sz="0" w:space="0" w:color="auto"/>
        <w:left w:val="none" w:sz="0" w:space="0" w:color="auto"/>
        <w:bottom w:val="none" w:sz="0" w:space="0" w:color="auto"/>
        <w:right w:val="none" w:sz="0" w:space="0" w:color="auto"/>
      </w:divBdr>
    </w:div>
    <w:div w:id="1059088178">
      <w:bodyDiv w:val="1"/>
      <w:marLeft w:val="0"/>
      <w:marRight w:val="0"/>
      <w:marTop w:val="0"/>
      <w:marBottom w:val="0"/>
      <w:divBdr>
        <w:top w:val="none" w:sz="0" w:space="0" w:color="auto"/>
        <w:left w:val="none" w:sz="0" w:space="0" w:color="auto"/>
        <w:bottom w:val="none" w:sz="0" w:space="0" w:color="auto"/>
        <w:right w:val="none" w:sz="0" w:space="0" w:color="auto"/>
      </w:divBdr>
    </w:div>
    <w:div w:id="1082724269">
      <w:bodyDiv w:val="1"/>
      <w:marLeft w:val="0"/>
      <w:marRight w:val="0"/>
      <w:marTop w:val="0"/>
      <w:marBottom w:val="0"/>
      <w:divBdr>
        <w:top w:val="none" w:sz="0" w:space="0" w:color="auto"/>
        <w:left w:val="none" w:sz="0" w:space="0" w:color="auto"/>
        <w:bottom w:val="none" w:sz="0" w:space="0" w:color="auto"/>
        <w:right w:val="none" w:sz="0" w:space="0" w:color="auto"/>
      </w:divBdr>
    </w:div>
    <w:div w:id="1090202570">
      <w:bodyDiv w:val="1"/>
      <w:marLeft w:val="0"/>
      <w:marRight w:val="0"/>
      <w:marTop w:val="0"/>
      <w:marBottom w:val="0"/>
      <w:divBdr>
        <w:top w:val="none" w:sz="0" w:space="0" w:color="auto"/>
        <w:left w:val="none" w:sz="0" w:space="0" w:color="auto"/>
        <w:bottom w:val="none" w:sz="0" w:space="0" w:color="auto"/>
        <w:right w:val="none" w:sz="0" w:space="0" w:color="auto"/>
      </w:divBdr>
    </w:div>
    <w:div w:id="1108893196">
      <w:bodyDiv w:val="1"/>
      <w:marLeft w:val="0"/>
      <w:marRight w:val="0"/>
      <w:marTop w:val="0"/>
      <w:marBottom w:val="0"/>
      <w:divBdr>
        <w:top w:val="none" w:sz="0" w:space="0" w:color="auto"/>
        <w:left w:val="none" w:sz="0" w:space="0" w:color="auto"/>
        <w:bottom w:val="none" w:sz="0" w:space="0" w:color="auto"/>
        <w:right w:val="none" w:sz="0" w:space="0" w:color="auto"/>
      </w:divBdr>
    </w:div>
    <w:div w:id="1126504692">
      <w:bodyDiv w:val="1"/>
      <w:marLeft w:val="0"/>
      <w:marRight w:val="0"/>
      <w:marTop w:val="0"/>
      <w:marBottom w:val="0"/>
      <w:divBdr>
        <w:top w:val="none" w:sz="0" w:space="0" w:color="auto"/>
        <w:left w:val="none" w:sz="0" w:space="0" w:color="auto"/>
        <w:bottom w:val="none" w:sz="0" w:space="0" w:color="auto"/>
        <w:right w:val="none" w:sz="0" w:space="0" w:color="auto"/>
      </w:divBdr>
    </w:div>
    <w:div w:id="1227377053">
      <w:bodyDiv w:val="1"/>
      <w:marLeft w:val="0"/>
      <w:marRight w:val="0"/>
      <w:marTop w:val="0"/>
      <w:marBottom w:val="0"/>
      <w:divBdr>
        <w:top w:val="none" w:sz="0" w:space="0" w:color="auto"/>
        <w:left w:val="none" w:sz="0" w:space="0" w:color="auto"/>
        <w:bottom w:val="none" w:sz="0" w:space="0" w:color="auto"/>
        <w:right w:val="none" w:sz="0" w:space="0" w:color="auto"/>
      </w:divBdr>
    </w:div>
    <w:div w:id="1236747173">
      <w:bodyDiv w:val="1"/>
      <w:marLeft w:val="0"/>
      <w:marRight w:val="0"/>
      <w:marTop w:val="0"/>
      <w:marBottom w:val="0"/>
      <w:divBdr>
        <w:top w:val="none" w:sz="0" w:space="0" w:color="auto"/>
        <w:left w:val="none" w:sz="0" w:space="0" w:color="auto"/>
        <w:bottom w:val="none" w:sz="0" w:space="0" w:color="auto"/>
        <w:right w:val="none" w:sz="0" w:space="0" w:color="auto"/>
      </w:divBdr>
    </w:div>
    <w:div w:id="1256473937">
      <w:bodyDiv w:val="1"/>
      <w:marLeft w:val="0"/>
      <w:marRight w:val="0"/>
      <w:marTop w:val="0"/>
      <w:marBottom w:val="0"/>
      <w:divBdr>
        <w:top w:val="none" w:sz="0" w:space="0" w:color="auto"/>
        <w:left w:val="none" w:sz="0" w:space="0" w:color="auto"/>
        <w:bottom w:val="none" w:sz="0" w:space="0" w:color="auto"/>
        <w:right w:val="none" w:sz="0" w:space="0" w:color="auto"/>
      </w:divBdr>
    </w:div>
    <w:div w:id="1300383097">
      <w:bodyDiv w:val="1"/>
      <w:marLeft w:val="0"/>
      <w:marRight w:val="0"/>
      <w:marTop w:val="0"/>
      <w:marBottom w:val="0"/>
      <w:divBdr>
        <w:top w:val="none" w:sz="0" w:space="0" w:color="auto"/>
        <w:left w:val="none" w:sz="0" w:space="0" w:color="auto"/>
        <w:bottom w:val="none" w:sz="0" w:space="0" w:color="auto"/>
        <w:right w:val="none" w:sz="0" w:space="0" w:color="auto"/>
      </w:divBdr>
    </w:div>
    <w:div w:id="1363245457">
      <w:bodyDiv w:val="1"/>
      <w:marLeft w:val="0"/>
      <w:marRight w:val="0"/>
      <w:marTop w:val="0"/>
      <w:marBottom w:val="0"/>
      <w:divBdr>
        <w:top w:val="none" w:sz="0" w:space="0" w:color="auto"/>
        <w:left w:val="none" w:sz="0" w:space="0" w:color="auto"/>
        <w:bottom w:val="none" w:sz="0" w:space="0" w:color="auto"/>
        <w:right w:val="none" w:sz="0" w:space="0" w:color="auto"/>
      </w:divBdr>
    </w:div>
    <w:div w:id="1371800062">
      <w:bodyDiv w:val="1"/>
      <w:marLeft w:val="0"/>
      <w:marRight w:val="0"/>
      <w:marTop w:val="0"/>
      <w:marBottom w:val="0"/>
      <w:divBdr>
        <w:top w:val="none" w:sz="0" w:space="0" w:color="auto"/>
        <w:left w:val="none" w:sz="0" w:space="0" w:color="auto"/>
        <w:bottom w:val="none" w:sz="0" w:space="0" w:color="auto"/>
        <w:right w:val="none" w:sz="0" w:space="0" w:color="auto"/>
      </w:divBdr>
    </w:div>
    <w:div w:id="1394693554">
      <w:bodyDiv w:val="1"/>
      <w:marLeft w:val="0"/>
      <w:marRight w:val="0"/>
      <w:marTop w:val="0"/>
      <w:marBottom w:val="0"/>
      <w:divBdr>
        <w:top w:val="none" w:sz="0" w:space="0" w:color="auto"/>
        <w:left w:val="none" w:sz="0" w:space="0" w:color="auto"/>
        <w:bottom w:val="none" w:sz="0" w:space="0" w:color="auto"/>
        <w:right w:val="none" w:sz="0" w:space="0" w:color="auto"/>
      </w:divBdr>
    </w:div>
    <w:div w:id="1395198855">
      <w:bodyDiv w:val="1"/>
      <w:marLeft w:val="0"/>
      <w:marRight w:val="0"/>
      <w:marTop w:val="0"/>
      <w:marBottom w:val="0"/>
      <w:divBdr>
        <w:top w:val="none" w:sz="0" w:space="0" w:color="auto"/>
        <w:left w:val="none" w:sz="0" w:space="0" w:color="auto"/>
        <w:bottom w:val="none" w:sz="0" w:space="0" w:color="auto"/>
        <w:right w:val="none" w:sz="0" w:space="0" w:color="auto"/>
      </w:divBdr>
    </w:div>
    <w:div w:id="1429618493">
      <w:bodyDiv w:val="1"/>
      <w:marLeft w:val="0"/>
      <w:marRight w:val="0"/>
      <w:marTop w:val="0"/>
      <w:marBottom w:val="0"/>
      <w:divBdr>
        <w:top w:val="none" w:sz="0" w:space="0" w:color="auto"/>
        <w:left w:val="none" w:sz="0" w:space="0" w:color="auto"/>
        <w:bottom w:val="none" w:sz="0" w:space="0" w:color="auto"/>
        <w:right w:val="none" w:sz="0" w:space="0" w:color="auto"/>
      </w:divBdr>
    </w:div>
    <w:div w:id="1445076308">
      <w:bodyDiv w:val="1"/>
      <w:marLeft w:val="0"/>
      <w:marRight w:val="0"/>
      <w:marTop w:val="0"/>
      <w:marBottom w:val="0"/>
      <w:divBdr>
        <w:top w:val="none" w:sz="0" w:space="0" w:color="auto"/>
        <w:left w:val="none" w:sz="0" w:space="0" w:color="auto"/>
        <w:bottom w:val="none" w:sz="0" w:space="0" w:color="auto"/>
        <w:right w:val="none" w:sz="0" w:space="0" w:color="auto"/>
      </w:divBdr>
    </w:div>
    <w:div w:id="1500540518">
      <w:bodyDiv w:val="1"/>
      <w:marLeft w:val="0"/>
      <w:marRight w:val="0"/>
      <w:marTop w:val="0"/>
      <w:marBottom w:val="0"/>
      <w:divBdr>
        <w:top w:val="none" w:sz="0" w:space="0" w:color="auto"/>
        <w:left w:val="none" w:sz="0" w:space="0" w:color="auto"/>
        <w:bottom w:val="none" w:sz="0" w:space="0" w:color="auto"/>
        <w:right w:val="none" w:sz="0" w:space="0" w:color="auto"/>
      </w:divBdr>
    </w:div>
    <w:div w:id="1696953844">
      <w:bodyDiv w:val="1"/>
      <w:marLeft w:val="0"/>
      <w:marRight w:val="0"/>
      <w:marTop w:val="0"/>
      <w:marBottom w:val="0"/>
      <w:divBdr>
        <w:top w:val="none" w:sz="0" w:space="0" w:color="auto"/>
        <w:left w:val="none" w:sz="0" w:space="0" w:color="auto"/>
        <w:bottom w:val="none" w:sz="0" w:space="0" w:color="auto"/>
        <w:right w:val="none" w:sz="0" w:space="0" w:color="auto"/>
      </w:divBdr>
    </w:div>
    <w:div w:id="1804494195">
      <w:bodyDiv w:val="1"/>
      <w:marLeft w:val="0"/>
      <w:marRight w:val="0"/>
      <w:marTop w:val="0"/>
      <w:marBottom w:val="0"/>
      <w:divBdr>
        <w:top w:val="none" w:sz="0" w:space="0" w:color="auto"/>
        <w:left w:val="none" w:sz="0" w:space="0" w:color="auto"/>
        <w:bottom w:val="none" w:sz="0" w:space="0" w:color="auto"/>
        <w:right w:val="none" w:sz="0" w:space="0" w:color="auto"/>
      </w:divBdr>
    </w:div>
    <w:div w:id="1825317323">
      <w:bodyDiv w:val="1"/>
      <w:marLeft w:val="0"/>
      <w:marRight w:val="0"/>
      <w:marTop w:val="0"/>
      <w:marBottom w:val="0"/>
      <w:divBdr>
        <w:top w:val="none" w:sz="0" w:space="0" w:color="auto"/>
        <w:left w:val="none" w:sz="0" w:space="0" w:color="auto"/>
        <w:bottom w:val="none" w:sz="0" w:space="0" w:color="auto"/>
        <w:right w:val="none" w:sz="0" w:space="0" w:color="auto"/>
      </w:divBdr>
    </w:div>
    <w:div w:id="1841239726">
      <w:bodyDiv w:val="1"/>
      <w:marLeft w:val="0"/>
      <w:marRight w:val="0"/>
      <w:marTop w:val="0"/>
      <w:marBottom w:val="0"/>
      <w:divBdr>
        <w:top w:val="none" w:sz="0" w:space="0" w:color="auto"/>
        <w:left w:val="none" w:sz="0" w:space="0" w:color="auto"/>
        <w:bottom w:val="none" w:sz="0" w:space="0" w:color="auto"/>
        <w:right w:val="none" w:sz="0" w:space="0" w:color="auto"/>
      </w:divBdr>
    </w:div>
    <w:div w:id="1848591926">
      <w:bodyDiv w:val="1"/>
      <w:marLeft w:val="0"/>
      <w:marRight w:val="0"/>
      <w:marTop w:val="0"/>
      <w:marBottom w:val="0"/>
      <w:divBdr>
        <w:top w:val="none" w:sz="0" w:space="0" w:color="auto"/>
        <w:left w:val="none" w:sz="0" w:space="0" w:color="auto"/>
        <w:bottom w:val="none" w:sz="0" w:space="0" w:color="auto"/>
        <w:right w:val="none" w:sz="0" w:space="0" w:color="auto"/>
      </w:divBdr>
    </w:div>
    <w:div w:id="1864203183">
      <w:bodyDiv w:val="1"/>
      <w:marLeft w:val="0"/>
      <w:marRight w:val="0"/>
      <w:marTop w:val="0"/>
      <w:marBottom w:val="0"/>
      <w:divBdr>
        <w:top w:val="none" w:sz="0" w:space="0" w:color="auto"/>
        <w:left w:val="none" w:sz="0" w:space="0" w:color="auto"/>
        <w:bottom w:val="none" w:sz="0" w:space="0" w:color="auto"/>
        <w:right w:val="none" w:sz="0" w:space="0" w:color="auto"/>
      </w:divBdr>
    </w:div>
    <w:div w:id="1868836834">
      <w:bodyDiv w:val="1"/>
      <w:marLeft w:val="0"/>
      <w:marRight w:val="0"/>
      <w:marTop w:val="0"/>
      <w:marBottom w:val="0"/>
      <w:divBdr>
        <w:top w:val="none" w:sz="0" w:space="0" w:color="auto"/>
        <w:left w:val="none" w:sz="0" w:space="0" w:color="auto"/>
        <w:bottom w:val="none" w:sz="0" w:space="0" w:color="auto"/>
        <w:right w:val="none" w:sz="0" w:space="0" w:color="auto"/>
      </w:divBdr>
    </w:div>
    <w:div w:id="1880585409">
      <w:bodyDiv w:val="1"/>
      <w:marLeft w:val="0"/>
      <w:marRight w:val="0"/>
      <w:marTop w:val="0"/>
      <w:marBottom w:val="0"/>
      <w:divBdr>
        <w:top w:val="none" w:sz="0" w:space="0" w:color="auto"/>
        <w:left w:val="none" w:sz="0" w:space="0" w:color="auto"/>
        <w:bottom w:val="none" w:sz="0" w:space="0" w:color="auto"/>
        <w:right w:val="none" w:sz="0" w:space="0" w:color="auto"/>
      </w:divBdr>
    </w:div>
    <w:div w:id="1957130769">
      <w:bodyDiv w:val="1"/>
      <w:marLeft w:val="0"/>
      <w:marRight w:val="0"/>
      <w:marTop w:val="0"/>
      <w:marBottom w:val="0"/>
      <w:divBdr>
        <w:top w:val="none" w:sz="0" w:space="0" w:color="auto"/>
        <w:left w:val="none" w:sz="0" w:space="0" w:color="auto"/>
        <w:bottom w:val="none" w:sz="0" w:space="0" w:color="auto"/>
        <w:right w:val="none" w:sz="0" w:space="0" w:color="auto"/>
      </w:divBdr>
    </w:div>
    <w:div w:id="1991933390">
      <w:bodyDiv w:val="1"/>
      <w:marLeft w:val="0"/>
      <w:marRight w:val="0"/>
      <w:marTop w:val="0"/>
      <w:marBottom w:val="0"/>
      <w:divBdr>
        <w:top w:val="none" w:sz="0" w:space="0" w:color="auto"/>
        <w:left w:val="none" w:sz="0" w:space="0" w:color="auto"/>
        <w:bottom w:val="none" w:sz="0" w:space="0" w:color="auto"/>
        <w:right w:val="none" w:sz="0" w:space="0" w:color="auto"/>
      </w:divBdr>
    </w:div>
    <w:div w:id="1994676196">
      <w:bodyDiv w:val="1"/>
      <w:marLeft w:val="0"/>
      <w:marRight w:val="0"/>
      <w:marTop w:val="0"/>
      <w:marBottom w:val="0"/>
      <w:divBdr>
        <w:top w:val="none" w:sz="0" w:space="0" w:color="auto"/>
        <w:left w:val="none" w:sz="0" w:space="0" w:color="auto"/>
        <w:bottom w:val="none" w:sz="0" w:space="0" w:color="auto"/>
        <w:right w:val="none" w:sz="0" w:space="0" w:color="auto"/>
      </w:divBdr>
    </w:div>
    <w:div w:id="2020544402">
      <w:bodyDiv w:val="1"/>
      <w:marLeft w:val="0"/>
      <w:marRight w:val="0"/>
      <w:marTop w:val="0"/>
      <w:marBottom w:val="0"/>
      <w:divBdr>
        <w:top w:val="none" w:sz="0" w:space="0" w:color="auto"/>
        <w:left w:val="none" w:sz="0" w:space="0" w:color="auto"/>
        <w:bottom w:val="none" w:sz="0" w:space="0" w:color="auto"/>
        <w:right w:val="none" w:sz="0" w:space="0" w:color="auto"/>
      </w:divBdr>
    </w:div>
    <w:div w:id="2020892260">
      <w:bodyDiv w:val="1"/>
      <w:marLeft w:val="0"/>
      <w:marRight w:val="0"/>
      <w:marTop w:val="0"/>
      <w:marBottom w:val="0"/>
      <w:divBdr>
        <w:top w:val="none" w:sz="0" w:space="0" w:color="auto"/>
        <w:left w:val="none" w:sz="0" w:space="0" w:color="auto"/>
        <w:bottom w:val="none" w:sz="0" w:space="0" w:color="auto"/>
        <w:right w:val="none" w:sz="0" w:space="0" w:color="auto"/>
      </w:divBdr>
    </w:div>
    <w:div w:id="2060353512">
      <w:bodyDiv w:val="1"/>
      <w:marLeft w:val="0"/>
      <w:marRight w:val="0"/>
      <w:marTop w:val="0"/>
      <w:marBottom w:val="0"/>
      <w:divBdr>
        <w:top w:val="none" w:sz="0" w:space="0" w:color="auto"/>
        <w:left w:val="none" w:sz="0" w:space="0" w:color="auto"/>
        <w:bottom w:val="none" w:sz="0" w:space="0" w:color="auto"/>
        <w:right w:val="none" w:sz="0" w:space="0" w:color="auto"/>
      </w:divBdr>
    </w:div>
    <w:div w:id="2062634810">
      <w:bodyDiv w:val="1"/>
      <w:marLeft w:val="0"/>
      <w:marRight w:val="0"/>
      <w:marTop w:val="0"/>
      <w:marBottom w:val="0"/>
      <w:divBdr>
        <w:top w:val="none" w:sz="0" w:space="0" w:color="auto"/>
        <w:left w:val="none" w:sz="0" w:space="0" w:color="auto"/>
        <w:bottom w:val="none" w:sz="0" w:space="0" w:color="auto"/>
        <w:right w:val="none" w:sz="0" w:space="0" w:color="auto"/>
      </w:divBdr>
    </w:div>
    <w:div w:id="2065181831">
      <w:bodyDiv w:val="1"/>
      <w:marLeft w:val="0"/>
      <w:marRight w:val="0"/>
      <w:marTop w:val="0"/>
      <w:marBottom w:val="0"/>
      <w:divBdr>
        <w:top w:val="none" w:sz="0" w:space="0" w:color="auto"/>
        <w:left w:val="none" w:sz="0" w:space="0" w:color="auto"/>
        <w:bottom w:val="none" w:sz="0" w:space="0" w:color="auto"/>
        <w:right w:val="none" w:sz="0" w:space="0" w:color="auto"/>
      </w:divBdr>
    </w:div>
    <w:div w:id="2107118391">
      <w:bodyDiv w:val="1"/>
      <w:marLeft w:val="0"/>
      <w:marRight w:val="0"/>
      <w:marTop w:val="0"/>
      <w:marBottom w:val="0"/>
      <w:divBdr>
        <w:top w:val="none" w:sz="0" w:space="0" w:color="auto"/>
        <w:left w:val="none" w:sz="0" w:space="0" w:color="auto"/>
        <w:bottom w:val="none" w:sz="0" w:space="0" w:color="auto"/>
        <w:right w:val="none" w:sz="0" w:space="0" w:color="auto"/>
      </w:divBdr>
    </w:div>
    <w:div w:id="2107656521">
      <w:bodyDiv w:val="1"/>
      <w:marLeft w:val="0"/>
      <w:marRight w:val="0"/>
      <w:marTop w:val="0"/>
      <w:marBottom w:val="0"/>
      <w:divBdr>
        <w:top w:val="none" w:sz="0" w:space="0" w:color="auto"/>
        <w:left w:val="none" w:sz="0" w:space="0" w:color="auto"/>
        <w:bottom w:val="none" w:sz="0" w:space="0" w:color="auto"/>
        <w:right w:val="none" w:sz="0" w:space="0" w:color="auto"/>
      </w:divBdr>
    </w:div>
    <w:div w:id="21389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dsbirsupport@reisystems.com" TargetMode="External"/><Relationship Id="rId18" Type="http://schemas.openxmlformats.org/officeDocument/2006/relationships/hyperlink" Target="https://www.dodsbirsttr.mil/submissions/" TargetMode="External"/><Relationship Id="rId26" Type="http://schemas.openxmlformats.org/officeDocument/2006/relationships/hyperlink" Target="https://quicksearch.dla.mil/qsDocDetails.aspx?ident_number=36186" TargetMode="External"/><Relationship Id="rId3" Type="http://schemas.openxmlformats.org/officeDocument/2006/relationships/customXml" Target="../customXml/item3.xml"/><Relationship Id="rId21" Type="http://schemas.openxmlformats.org/officeDocument/2006/relationships/hyperlink" Target="https://www.navysbirprogram.com/navydeliverables/" TargetMode="External"/><Relationship Id="rId7" Type="http://schemas.openxmlformats.org/officeDocument/2006/relationships/settings" Target="settings.xml"/><Relationship Id="rId12" Type="http://schemas.openxmlformats.org/officeDocument/2006/relationships/hyperlink" Target="https://www.dodsbirsttr.mil/submissions" TargetMode="External"/><Relationship Id="rId17" Type="http://schemas.openxmlformats.org/officeDocument/2006/relationships/hyperlink" Target="https://www.navysbir.com/links_forms.htm" TargetMode="External"/><Relationship Id="rId25" Type="http://schemas.openxmlformats.org/officeDocument/2006/relationships/hyperlink" Target="https://quicksearch.dla.mil/qsDocDetails.aspx?ident_number=35978" TargetMode="External"/><Relationship Id="rId2" Type="http://schemas.openxmlformats.org/officeDocument/2006/relationships/customXml" Target="../customXml/item2.xml"/><Relationship Id="rId16" Type="http://schemas.openxmlformats.org/officeDocument/2006/relationships/hyperlink" Target="https://beta.sam.gov" TargetMode="External"/><Relationship Id="rId20" Type="http://schemas.openxmlformats.org/officeDocument/2006/relationships/hyperlink" Target="https://www.navysbir.com/links_forms.htm" TargetMode="External"/><Relationship Id="rId29" Type="http://schemas.openxmlformats.org/officeDocument/2006/relationships/hyperlink" Target="https://quicksearch.dla.mil/qsDocDetails.aspx?ident_number=3668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vysbir.com/links_forms.htm" TargetMode="External"/><Relationship Id="rId24" Type="http://schemas.openxmlformats.org/officeDocument/2006/relationships/hyperlink" Target="http://www.onr.navy.mil/About-ONR/compliance-protections/Research-Protections/Human-Subject-Research.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avy.mil" TargetMode="External"/><Relationship Id="rId23" Type="http://schemas.openxmlformats.org/officeDocument/2006/relationships/hyperlink" Target="https://www.navysbirprogram.com/navydeliverables/" TargetMode="External"/><Relationship Id="rId28" Type="http://schemas.openxmlformats.org/officeDocument/2006/relationships/hyperlink" Target="https://www.nema.org/Standards/ComplimentaryDocuments/ANSI-IEC-60529.pdf" TargetMode="External"/><Relationship Id="rId10" Type="http://schemas.openxmlformats.org/officeDocument/2006/relationships/endnotes" Target="endnotes.xml"/><Relationship Id="rId19" Type="http://schemas.openxmlformats.org/officeDocument/2006/relationships/hyperlink" Target="https://navysbir.com/links_forms.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vysbir.com" TargetMode="External"/><Relationship Id="rId22" Type="http://schemas.openxmlformats.org/officeDocument/2006/relationships/hyperlink" Target="https://navystp.com" TargetMode="External"/><Relationship Id="rId27" Type="http://schemas.openxmlformats.org/officeDocument/2006/relationships/hyperlink" Target="https://apps.dtic.mil/dtic/tr/fulltext/u2/a045343.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6559C85C5E54CB59D3C8C506D91D3" ma:contentTypeVersion="4" ma:contentTypeDescription="Create a new document." ma:contentTypeScope="" ma:versionID="02e4fac62c736be166809dda3b1d0714">
  <xsd:schema xmlns:xsd="http://www.w3.org/2001/XMLSchema" xmlns:xs="http://www.w3.org/2001/XMLSchema" xmlns:p="http://schemas.microsoft.com/office/2006/metadata/properties" xmlns:ns3="a4ac2a47-7ee5-49d8-ac3c-5cc35d543a8d" targetNamespace="http://schemas.microsoft.com/office/2006/metadata/properties" ma:root="true" ma:fieldsID="da721a9617d31353497650a77f067083" ns3:_="">
    <xsd:import namespace="a4ac2a47-7ee5-49d8-ac3c-5cc35d543a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c2a47-7ee5-49d8-ac3c-5cc35d543a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81B5F-A1DA-4875-BD59-DA66E08F8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c2a47-7ee5-49d8-ac3c-5cc35d543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B71AB-4B79-4234-83EB-6BC2C52C60A4}">
  <ds:schemaRef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schemas.microsoft.com/office/infopath/2007/PartnerControls"/>
    <ds:schemaRef ds:uri="a4ac2a47-7ee5-49d8-ac3c-5cc35d543a8d"/>
    <ds:schemaRef ds:uri="http://www.w3.org/XML/1998/namespace"/>
    <ds:schemaRef ds:uri="http://purl.org/dc/terms/"/>
  </ds:schemaRefs>
</ds:datastoreItem>
</file>

<file path=customXml/itemProps3.xml><?xml version="1.0" encoding="utf-8"?>
<ds:datastoreItem xmlns:ds="http://schemas.openxmlformats.org/officeDocument/2006/customXml" ds:itemID="{34C81ED1-226A-4E4A-B0B9-C70BD67C675C}">
  <ds:schemaRefs>
    <ds:schemaRef ds:uri="http://schemas.microsoft.com/sharepoint/v3/contenttype/forms"/>
  </ds:schemaRefs>
</ds:datastoreItem>
</file>

<file path=customXml/itemProps4.xml><?xml version="1.0" encoding="utf-8"?>
<ds:datastoreItem xmlns:ds="http://schemas.openxmlformats.org/officeDocument/2006/customXml" ds:itemID="{FE66FA7A-F25D-4DC8-B919-025342799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5022</Words>
  <Characters>28627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33582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Lee Ann A CIV ONR, 25</dc:creator>
  <cp:keywords/>
  <dc:description/>
  <cp:lastModifiedBy>Stokes, Megan</cp:lastModifiedBy>
  <cp:revision>5</cp:revision>
  <cp:lastPrinted>2018-11-26T21:06:00Z</cp:lastPrinted>
  <dcterms:created xsi:type="dcterms:W3CDTF">2020-05-26T20:46:00Z</dcterms:created>
  <dcterms:modified xsi:type="dcterms:W3CDTF">2020-05-26T21:39:00Z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0x01010096B6559C85C5E54CB59D3C8C506D91D3</vt:lpwstr>
  </property>
</Properties>
</file>